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3D4B" w14:textId="77777777" w:rsidR="00E13116" w:rsidRDefault="00E13116" w:rsidP="008312D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25CD2BF" w14:textId="77777777" w:rsidR="00E13116" w:rsidRDefault="00E13116" w:rsidP="008312D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E249AFA" w14:textId="77777777" w:rsidR="00E13116" w:rsidRDefault="00E13116" w:rsidP="008312D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E2BB791" w14:textId="77777777" w:rsidR="00E13116" w:rsidRDefault="00E13116" w:rsidP="008312D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9CDD8D6" w14:textId="77777777" w:rsidR="00E13116" w:rsidRDefault="00E13116" w:rsidP="008312D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B9A9833" w14:textId="77777777" w:rsidR="00E13116" w:rsidRDefault="00E13116" w:rsidP="008312D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98FA39" w14:textId="490478C9" w:rsidR="008312DC" w:rsidRPr="00D159FB" w:rsidRDefault="008312DC" w:rsidP="008312D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035/2023</w:t>
      </w:r>
    </w:p>
    <w:p w14:paraId="0AC4514D" w14:textId="77777777" w:rsidR="008312DC" w:rsidRDefault="008312DC" w:rsidP="008312D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86F9C5D" w14:textId="37E995B2" w:rsidR="008312DC" w:rsidRDefault="008312DC" w:rsidP="008312DC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35ª SESSÃO ORDINARIA, DA 9ª SESSÃO LEGISLATIVA DA 8ª LEGISLATURA 2021- 2024 REALIZADA EM 30/10/2023.</w:t>
      </w:r>
    </w:p>
    <w:p w14:paraId="5CCE67C3" w14:textId="77777777" w:rsidR="008312DC" w:rsidRDefault="008312DC" w:rsidP="008312D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6F84B8" w14:textId="77777777" w:rsidR="008312DC" w:rsidRDefault="008312DC" w:rsidP="008312DC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24381BA" w14:textId="77777777" w:rsidR="008312DC" w:rsidRDefault="008312DC" w:rsidP="008312D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2D49238" w14:textId="77777777" w:rsidR="008312DC" w:rsidRDefault="008312DC" w:rsidP="008312DC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JOAO CARLOS BIGNINI</w:t>
      </w:r>
    </w:p>
    <w:p w14:paraId="2FFA130F" w14:textId="77777777" w:rsidR="008312DC" w:rsidRDefault="008312DC" w:rsidP="008312DC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57209B91" w14:textId="77777777" w:rsidR="008312DC" w:rsidRDefault="008312DC" w:rsidP="008312DC">
      <w:pPr>
        <w:rPr>
          <w:rFonts w:ascii="Times New Roman" w:hAnsi="Times New Roman" w:cs="Times New Roman"/>
          <w:b/>
          <w:bCs/>
        </w:rPr>
      </w:pPr>
    </w:p>
    <w:p w14:paraId="663B3EE4" w14:textId="77777777" w:rsidR="00E13116" w:rsidRDefault="008312DC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trinta dias do mês de outubro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Ozane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Saldanha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Marlene Maciel Furini,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Ordinária, agradeceu a presença de todos em seguida solicitou a Vereador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Mariela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 leitura de um trecho Bíblico. 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Joao Carlos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034-2023: </w:t>
      </w:r>
      <w:r w:rsidR="00E13116"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094-2023- </w:t>
      </w:r>
      <w:r w:rsidR="00E13116" w:rsidRPr="009546E5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 xml:space="preserve"> Presidente coloca o Projeto em discussão em votação no qual foi aprovado por unanimidade. 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095-2023- </w:t>
      </w:r>
      <w:r w:rsidR="00E13116" w:rsidRPr="009546E5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 xml:space="preserve"> Projeto baixado para análise das comissões competentes. 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096-2023- </w:t>
      </w:r>
      <w:r w:rsidR="00E13116" w:rsidRPr="009546E5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 xml:space="preserve"> Projeto baixado para análise das comissões competentes. 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DECRETO DO LEGISLATIVO N° 011-2023-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precia parecer favorável do TSE número 20 466 do processo número 002 086-0200/188 de 2018 processos de Contas do Governo dos Senhores Edinaldo </w:t>
      </w:r>
      <w:proofErr w:type="spellStart"/>
      <w:r w:rsidR="00E1311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úp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lo</w:t>
      </w:r>
      <w:proofErr w:type="spellEnd"/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Rosset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o e Vo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nei Nicola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onello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. Presidente coloca o Projeto de decreto em discussão e pede a palavra “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Esse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rojeto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egislativo senhores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eu quero usar um minuto aqui do tempo é um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rojeto que veio para casa Legislativa da aprovação do Tribunal de Contas do exercício do Edinaldo </w:t>
      </w:r>
      <w:proofErr w:type="spellStart"/>
      <w:r w:rsidR="00E1311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úpulo</w:t>
      </w:r>
      <w:proofErr w:type="spellEnd"/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Rosse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to e Volnei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onello então suas contas do período de 2018 está sendo aprovada pelo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Tribunal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ontas e vai em votação por esta casa neste momento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 xml:space="preserve">”. Presidente coloca o Projeto de decreto em votação no qual foi aprovado por unanimidade. </w:t>
      </w:r>
      <w:r w:rsidR="00E13116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</w:t>
      </w:r>
      <w:r w:rsidR="00E13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PEDIDO DE INFORMACAO N° 02-2023-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senhores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. O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E1311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E13116"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ereadores </w:t>
      </w:r>
    </w:p>
    <w:p w14:paraId="3CDF8878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B7CDE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576F9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19BAC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C054F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zane</w:t>
      </w:r>
      <w:proofErr w:type="spellEnd"/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116">
        <w:rPr>
          <w:rFonts w:ascii="Times New Roman" w:hAnsi="Times New Roman" w:cs="Times New Roman"/>
          <w:color w:val="000000"/>
          <w:sz w:val="24"/>
          <w:szCs w:val="24"/>
        </w:rPr>
        <w:t>Dieli</w:t>
      </w:r>
      <w:proofErr w:type="spellEnd"/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Saldanha dos Santos da Silva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Erivelton Eliseu Jahn integrantes da bancada 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rogressista PP Paulo César Klein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Marlene Furini integrantes da bancada 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artido dos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rabalhadores PT e o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ereador Joelso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nsi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ini integrante da bancada 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emocrático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rabalhista PDT da Câmara Municipal de Vereadores de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ovo Barreiro através do presente vem solicitar as seguintes informações junto ao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xecutivo Municipal que seja enviado ao poder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egislativo relação discriminada dos contratos firmados entre o poder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xecutivo e empresas prestadoras de serviço constando dados da empresa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objeto do contrato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período de vigência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valor do contrato a contar do exercício 2021 que seja enviado a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âmara de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ereadores relatórios informando o valor pago a empresa CIE referente aos contratos de Estagiários do período de 2020/2021/2022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2023 requer também que seja apresentado o relatório informando os valores existentes nas contas bancárias em nome do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unicípio e a previsão da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eceita e despesa até o final do exercício 2023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ressalta-se que o mesmo pedido já foi já foi enviado ao poder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xecutivo através de ofício 66 2023 recebido pel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xecutivo em 5 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10 de 2023 e até o presente momento não tivemos resposta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após ouvido em plenário seja enviado ao poder público obedecendo o prazo regimental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obedecendo a lei orgânica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a consideração do Plenário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PEDIDO DE INFORMACAO N° 03-2023-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senhores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os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ereadores </w:t>
      </w:r>
      <w:proofErr w:type="spellStart"/>
      <w:r w:rsidRPr="00E13116">
        <w:rPr>
          <w:rFonts w:ascii="Times New Roman" w:hAnsi="Times New Roman" w:cs="Times New Roman"/>
          <w:color w:val="000000"/>
          <w:sz w:val="24"/>
          <w:szCs w:val="24"/>
        </w:rPr>
        <w:t>Ozane</w:t>
      </w:r>
      <w:proofErr w:type="spellEnd"/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116">
        <w:rPr>
          <w:rFonts w:ascii="Times New Roman" w:hAnsi="Times New Roman" w:cs="Times New Roman"/>
          <w:color w:val="000000"/>
          <w:sz w:val="24"/>
          <w:szCs w:val="24"/>
        </w:rPr>
        <w:t>Dieli</w:t>
      </w:r>
      <w:proofErr w:type="spellEnd"/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Saldanha dos Santos da Silva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Erivelton Eliseu Jahn integrantes da bancada 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rogressista PP Paulo César Klein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Marlene Furini integrantes da bancada 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artido dos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rabalhadores PT e o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ereador Joelso Onsi Zini integrante da bancada 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emocrático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rabalhista PDT da Câmara Municipal de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ereadores de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ovo Barreiro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através do presente vem solicitar as seguintes informações junto ao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xecutivo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que seja esclarecido a declaração dada pela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refeita Municipal nas redes sociais da ocorrência de pagamentos em duplicidade da empresa prestadora de serviço solicita que seja esclarecida sobre qual empresa a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refeita referia-se e as ações adotadas pelo poder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xecutivo decorrente aos fatos mencionados após o ouvido em plenário seja enviado ao poder público obedecendo os prazos regimentais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obedecendo a lei orgânica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a consideração o plenário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PEDIDO DE INFORMACAO N° 04-2023-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senhores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ereador João Carlos Bignini integrante da bancada 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rogressista PP através do presente vem solicitar a seguinte informações junto ao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xecutivo municipal que seja informado o andamento do processo licitatório gerente aos recursos da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menda parlamentar 20 e 22 86 4001 do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eputado Jerônimo </w:t>
      </w:r>
      <w:proofErr w:type="spellStart"/>
      <w:r w:rsidRPr="00E13116">
        <w:rPr>
          <w:rFonts w:ascii="Times New Roman" w:hAnsi="Times New Roman" w:cs="Times New Roman"/>
          <w:color w:val="000000"/>
          <w:sz w:val="24"/>
          <w:szCs w:val="24"/>
        </w:rPr>
        <w:t>Georgen</w:t>
      </w:r>
      <w:proofErr w:type="spellEnd"/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cujo valor do investimento é de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$ 200.000 pago em 28 de março de 2023 após o ouvido em plenário seja enviado ao poder público obedecendo os prazos regimentais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obedecendo a lei orgânica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a consideração do plenário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INDICACAO N° 050-2023-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residente da Câmara Municipal de Vereadores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ovo Barreiro Rio Grande do Sul a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ereadora </w:t>
      </w:r>
      <w:proofErr w:type="spellStart"/>
      <w:r w:rsidRPr="00E13116">
        <w:rPr>
          <w:rFonts w:ascii="Times New Roman" w:hAnsi="Times New Roman" w:cs="Times New Roman"/>
          <w:color w:val="000000"/>
          <w:sz w:val="24"/>
          <w:szCs w:val="24"/>
        </w:rPr>
        <w:t>Ozane</w:t>
      </w:r>
      <w:proofErr w:type="spellEnd"/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116">
        <w:rPr>
          <w:rFonts w:ascii="Times New Roman" w:hAnsi="Times New Roman" w:cs="Times New Roman"/>
          <w:color w:val="000000"/>
          <w:sz w:val="24"/>
          <w:szCs w:val="24"/>
        </w:rPr>
        <w:t>Dieli</w:t>
      </w:r>
      <w:proofErr w:type="spellEnd"/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Saldanha da Silva integrante da bancada 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rogressista PP na forma regimental vem apresentar a presente </w:t>
      </w:r>
    </w:p>
    <w:p w14:paraId="3DDA588E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CD59D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0E3ACF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D5B8E" w14:textId="77777777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2508F4" w14:textId="53F2BB04" w:rsidR="00E13116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indicação indica o poder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>xecutivo Municipal para que realize nova edição de Liquida Barreiro com a finalidade de fomentar o comércio local justificativa será feita pelo repositor em Plenário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a consideração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E13116">
        <w:rPr>
          <w:rFonts w:ascii="Times New Roman" w:hAnsi="Times New Roman" w:cs="Times New Roman"/>
          <w:color w:val="000000"/>
          <w:sz w:val="24"/>
          <w:szCs w:val="24"/>
        </w:rPr>
        <w:t xml:space="preserve"> Plenário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Indicação recebida e encaminhada ao Executivo. </w:t>
      </w:r>
      <w:r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2D54DFC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C1D921D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57B4D02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64623EA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BDC87D8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6546062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E024D44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95B1659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AFCCBB4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F1FBD8A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FB7286F" w14:textId="77777777" w:rsidR="00E13116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096E0E0" w14:textId="77777777" w:rsidR="00E13116" w:rsidRPr="00071E63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Joao Carlos Bignini 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P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373DADD8" w14:textId="77777777" w:rsidR="00E13116" w:rsidRPr="00071E63" w:rsidRDefault="00E13116" w:rsidP="00E13116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E13116" w:rsidRPr="00071E63" w14:paraId="38572867" w14:textId="77777777" w:rsidTr="0094626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430159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0" w:name="_Hlk127369491"/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79C62" w14:textId="77777777" w:rsidR="00E13116" w:rsidRPr="00E13116" w:rsidRDefault="00E13116" w:rsidP="00946266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13116" w:rsidRPr="00071E63" w14:paraId="2BE60B88" w14:textId="77777777" w:rsidTr="0094626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B5D83B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Ozane</w:t>
            </w:r>
            <w:proofErr w:type="spellEnd"/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Dieli</w:t>
            </w:r>
            <w:proofErr w:type="spellEnd"/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Saldanha S. da </w:t>
            </w:r>
            <w:proofErr w:type="gramStart"/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Silva  (</w:t>
            </w:r>
            <w:proofErr w:type="gramEnd"/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F6A0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13116" w:rsidRPr="00071E63" w14:paraId="6DCE71D6" w14:textId="77777777" w:rsidTr="0094626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551BC0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Paulo Cesar Klein</w:t>
            </w: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6931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13116" w:rsidRPr="00071E63" w14:paraId="7549A646" w14:textId="77777777" w:rsidTr="0094626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F2144F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Marlene Maciel Furini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1CE07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13116" w:rsidRPr="00071E63" w14:paraId="4BA2ED92" w14:textId="77777777" w:rsidTr="0094626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7CD36D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7CA26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13116" w:rsidRPr="00071E63" w14:paraId="31B7779F" w14:textId="77777777" w:rsidTr="0094626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80C4BE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88A89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13116" w:rsidRPr="00071E63" w14:paraId="67768D34" w14:textId="77777777" w:rsidTr="0094626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74DE09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6DFDB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13116" w:rsidRPr="00071E63" w14:paraId="64C189C4" w14:textId="77777777" w:rsidTr="0094626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13EA05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58B65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13116" w:rsidRPr="00071E63" w14:paraId="0878D5AD" w14:textId="77777777" w:rsidTr="0094626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CF0994" w14:textId="77777777" w:rsidR="00E13116" w:rsidRPr="00E13116" w:rsidRDefault="00E13116" w:rsidP="00946266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69C0" w14:textId="77777777" w:rsidR="00E13116" w:rsidRPr="00E13116" w:rsidRDefault="00E13116" w:rsidP="00946266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bookmarkEnd w:id="0"/>
    </w:tbl>
    <w:p w14:paraId="1EAA091E" w14:textId="77777777" w:rsidR="00E13116" w:rsidRPr="00B24704" w:rsidRDefault="00E13116" w:rsidP="00E13116">
      <w:pPr>
        <w:jc w:val="both"/>
      </w:pPr>
    </w:p>
    <w:p w14:paraId="7C2C915F" w14:textId="77777777" w:rsidR="00E13116" w:rsidRPr="00EC4D81" w:rsidRDefault="00E13116" w:rsidP="00E131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D1E2AB" w14:textId="77777777" w:rsidR="00E13116" w:rsidRPr="00455B7E" w:rsidRDefault="00E13116" w:rsidP="00E13116">
      <w:pPr>
        <w:pStyle w:val="NormalWeb"/>
        <w:spacing w:before="0" w:beforeAutospacing="0" w:after="0" w:afterAutospacing="0"/>
        <w:jc w:val="both"/>
      </w:pPr>
    </w:p>
    <w:p w14:paraId="12F1AF63" w14:textId="77777777" w:rsidR="00E13116" w:rsidRPr="006E4F7B" w:rsidRDefault="00E13116" w:rsidP="00E13116">
      <w:pPr>
        <w:jc w:val="both"/>
      </w:pPr>
    </w:p>
    <w:p w14:paraId="5CE226B4" w14:textId="77777777" w:rsidR="00E13116" w:rsidRPr="009546E5" w:rsidRDefault="00E13116" w:rsidP="00E13116">
      <w:pPr>
        <w:jc w:val="both"/>
      </w:pPr>
    </w:p>
    <w:p w14:paraId="4A52F68F" w14:textId="6AF3BB01" w:rsidR="00E13116" w:rsidRPr="00E13116" w:rsidRDefault="00E13116" w:rsidP="00E13116">
      <w:pPr>
        <w:jc w:val="both"/>
      </w:pPr>
    </w:p>
    <w:p w14:paraId="21417E14" w14:textId="6BC9AA82" w:rsidR="008C67A8" w:rsidRPr="00E13116" w:rsidRDefault="008C67A8" w:rsidP="008312DC">
      <w:pPr>
        <w:jc w:val="both"/>
      </w:pPr>
    </w:p>
    <w:sectPr w:rsidR="008C67A8" w:rsidRPr="00E13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DC"/>
    <w:rsid w:val="000A7344"/>
    <w:rsid w:val="002A7121"/>
    <w:rsid w:val="008312DC"/>
    <w:rsid w:val="008C67A8"/>
    <w:rsid w:val="00E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846F"/>
  <w15:docId w15:val="{F7F36EEC-013E-4B5B-A782-92761B9C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D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8312DC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1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2023-11-06T16:45:00Z</dcterms:created>
  <dcterms:modified xsi:type="dcterms:W3CDTF">2023-11-06T16:45:00Z</dcterms:modified>
</cp:coreProperties>
</file>