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092C" w14:textId="77777777" w:rsidR="00CC0DEE" w:rsidRDefault="00CC0DEE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60C68F8" w14:textId="77777777" w:rsidR="00CC0DEE" w:rsidRDefault="00CC0DEE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4401BF5" w14:textId="77777777" w:rsidR="00CC0DEE" w:rsidRDefault="00CC0DEE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72539F" w14:textId="77777777" w:rsidR="00CC0DEE" w:rsidRDefault="00CC0DEE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027238F" w14:textId="77777777" w:rsidR="00CC0DEE" w:rsidRDefault="00CC0DEE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8A157C5" w14:textId="77777777" w:rsidR="00CC0DEE" w:rsidRDefault="00CC0DEE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8EA4FD8" w14:textId="188BDCC6" w:rsidR="003F0036" w:rsidRPr="00D159FB" w:rsidRDefault="003F0036" w:rsidP="003F003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032/2023</w:t>
      </w:r>
    </w:p>
    <w:p w14:paraId="2005D5BB" w14:textId="77777777" w:rsidR="003F0036" w:rsidRDefault="003F0036" w:rsidP="003F003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AE52C9F" w14:textId="3AAE4AFF" w:rsidR="003F0036" w:rsidRDefault="003F0036" w:rsidP="003F0036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32ª SESSÃO ORDINARIA, DA 9ª SESSÃO LEGISLATIVA DA 8ª LEGISLATURA 2021- 2024 REALIZADA EM 09/10/2023.</w:t>
      </w:r>
    </w:p>
    <w:p w14:paraId="64ED8063" w14:textId="77777777" w:rsidR="003F0036" w:rsidRDefault="003F0036" w:rsidP="003F003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6351C0" w14:textId="77777777" w:rsidR="003F0036" w:rsidRDefault="003F0036" w:rsidP="003F0036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43E8ED" w14:textId="77777777" w:rsidR="003F0036" w:rsidRDefault="003F0036" w:rsidP="003F003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74B8C16" w14:textId="071D8952" w:rsidR="003F0036" w:rsidRDefault="003F0036" w:rsidP="003F0036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JOAO CARLOS BIGNINI</w:t>
      </w:r>
    </w:p>
    <w:p w14:paraId="584A067A" w14:textId="77777777" w:rsidR="003F0036" w:rsidRDefault="003F0036" w:rsidP="003F003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4F1EC97D" w14:textId="77777777" w:rsidR="00CC0DEE" w:rsidRDefault="003F0036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nove dias do mês de outubro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Paulo Cesar Klein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Joao Carlos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031-2023: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F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 w:rsidR="002B7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analise discussão e votação</w:t>
      </w:r>
      <w:r w:rsidRPr="003F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Veto</w:t>
      </w:r>
      <w:r>
        <w:rPr>
          <w:rFonts w:ascii="Times New Roman" w:hAnsi="Times New Roman" w:cs="Times New Roman"/>
          <w:sz w:val="24"/>
          <w:szCs w:val="24"/>
        </w:rPr>
        <w:t>- Baixado para análise das comissões competentes.</w:t>
      </w:r>
      <w:r w:rsidR="002B7A3F">
        <w:rPr>
          <w:rFonts w:ascii="Times New Roman" w:hAnsi="Times New Roman" w:cs="Times New Roman"/>
          <w:sz w:val="24"/>
          <w:szCs w:val="24"/>
        </w:rPr>
        <w:t xml:space="preserve"> </w:t>
      </w:r>
      <w:r w:rsidR="002B7A3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2B7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079/2023- 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>Autoriza</w:t>
      </w:r>
      <w:r w:rsidR="002B7A3F" w:rsidRPr="002B7A3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B7A3F" w:rsidRPr="002B7A3F">
        <w:rPr>
          <w:rFonts w:ascii="Times New Roman" w:hAnsi="Times New Roman" w:cs="Times New Roman"/>
          <w:color w:val="000000"/>
          <w:sz w:val="24"/>
          <w:szCs w:val="24"/>
        </w:rPr>
        <w:t xml:space="preserve">unicípio de 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B7A3F" w:rsidRPr="002B7A3F">
        <w:rPr>
          <w:rFonts w:ascii="Times New Roman" w:hAnsi="Times New Roman" w:cs="Times New Roman"/>
          <w:color w:val="000000"/>
          <w:sz w:val="24"/>
          <w:szCs w:val="24"/>
        </w:rPr>
        <w:t>ovo Barreiro a realizar contratação emergencial de motoristas para substituição de servidores e da outras providências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 xml:space="preserve">. Pedido vista pelo Vereador Pedro Adriano. </w:t>
      </w:r>
      <w:r w:rsidR="002B7A3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2B7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087/2023- </w:t>
      </w:r>
      <w:r w:rsidR="002B7A3F" w:rsidRPr="002B7A3F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 xml:space="preserve">Presidente coloca o Projeto em discussão em votação no qual foi aprovado por unanimidade. </w:t>
      </w:r>
      <w:r w:rsidR="002B7A3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2B7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088/2023- 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B7A3F" w:rsidRPr="002B7A3F">
        <w:rPr>
          <w:rFonts w:ascii="Times New Roman" w:hAnsi="Times New Roman" w:cs="Times New Roman"/>
          <w:color w:val="000000"/>
          <w:sz w:val="24"/>
          <w:szCs w:val="24"/>
        </w:rPr>
        <w:t>ispõe sobre as diretrizes orçamentárias para o exercício financeiro de 2024</w:t>
      </w:r>
      <w:r w:rsidR="002B7A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3519F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23519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23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089/2023- </w:t>
      </w:r>
      <w:r w:rsidR="0023519F" w:rsidRPr="002B7A3F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23519F">
        <w:rPr>
          <w:rFonts w:ascii="Times New Roman" w:hAnsi="Times New Roman" w:cs="Times New Roman"/>
          <w:color w:val="000000"/>
          <w:sz w:val="24"/>
          <w:szCs w:val="24"/>
        </w:rPr>
        <w:t xml:space="preserve"> Projeto baixado para análise das comissões </w:t>
      </w:r>
      <w:proofErr w:type="gramStart"/>
      <w:r w:rsidR="0023519F">
        <w:rPr>
          <w:rFonts w:ascii="Times New Roman" w:hAnsi="Times New Roman" w:cs="Times New Roman"/>
          <w:color w:val="000000"/>
          <w:sz w:val="24"/>
          <w:szCs w:val="24"/>
        </w:rPr>
        <w:t>competentes.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6F6B50" w:rsidRPr="00A65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Presidente</w:t>
      </w:r>
      <w:r w:rsidR="0023519F" w:rsidRPr="00A65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solicita a leitura para análise do RELATORIO DE CONTAS ANUAIS DOS ADMININSTRADORES MUNICIPAIS DE NOVO</w:t>
      </w:r>
      <w:r w:rsidR="0023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19F" w:rsidRPr="00A65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BARREIRO EXERCICIO 20</w:t>
      </w:r>
      <w:r w:rsidR="0023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23519F" w:rsidRPr="00A655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23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a qualidade de responsável pelo órgão de controle interno do 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>unicípio d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e Novo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Barreiro RS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ve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nho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informar que o controle interno tem a função de auxiliar a administração pública para o princípio da legalidade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impessoalidade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moralidade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economicidade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finalidade pública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publicidade e eficiência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>esse sentido informamos que recebemos a comunicação do TSE RS na data de 02/10/2023</w:t>
      </w:r>
      <w:r w:rsidR="006F6B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6B50"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referente ao processo </w:t>
      </w:r>
    </w:p>
    <w:p w14:paraId="780A463A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E1F1C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E9D95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40589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79775" w14:textId="77777777" w:rsidR="00CC0DEE" w:rsidRDefault="006F6B50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005248-02 00/17-6 das contas de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overno do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do exercício de 2017 dos administradores Edinaldo </w:t>
      </w:r>
      <w:proofErr w:type="spellStart"/>
      <w:r w:rsidRPr="006F6B50">
        <w:rPr>
          <w:rFonts w:ascii="Times New Roman" w:hAnsi="Times New Roman" w:cs="Times New Roman"/>
          <w:color w:val="000000"/>
          <w:sz w:val="24"/>
          <w:szCs w:val="24"/>
        </w:rPr>
        <w:t>Rupollo</w:t>
      </w:r>
      <w:proofErr w:type="spellEnd"/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Rossetto e Volnei Nicola Tonello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>egue em anexo a certidão de t</w:t>
      </w:r>
      <w:r>
        <w:rPr>
          <w:rFonts w:ascii="Times New Roman" w:hAnsi="Times New Roman" w:cs="Times New Roman"/>
          <w:color w:val="000000"/>
          <w:sz w:val="24"/>
          <w:szCs w:val="24"/>
        </w:rPr>
        <w:t>rânsito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julgado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 encerramento do processo certidão de envio e comunicação assim como o parecer número 20089 para que para ser colocado em votação pelo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 xml:space="preserve">egislativo e posteriormente enviado em até 30 dias após o julgamento para o TSE Tribunal de Contas do Estado a decisão proferida pelo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6F6B50">
        <w:rPr>
          <w:rFonts w:ascii="Times New Roman" w:hAnsi="Times New Roman" w:cs="Times New Roman"/>
          <w:color w:val="000000"/>
          <w:sz w:val="24"/>
          <w:szCs w:val="24"/>
        </w:rPr>
        <w:t>egislativo através do sistema de processo eletrônico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Relatório baixado para análise das comissões competentes. </w:t>
      </w:r>
      <w:r w:rsidRPr="006F6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da INDICACAO N</w:t>
      </w:r>
      <w:r w:rsidRPr="00EC4D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° </w:t>
      </w:r>
      <w:r w:rsidR="00EC4D81" w:rsidRPr="00EC4D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048/2023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-  Excelentíssimo Senhor João Carlos B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ignini,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digníssimo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residente da Câmara Municipal de Vereadores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ovo Barreiro RS a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ereadora Mariela Carlos Rossetto integrante da bancada do PC do B na forma regimental vem apresentar a presente indicação,  indica ao poder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egislativo Municipal para que realize a redução do duodécimo no valor de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$ 100.000 para que seja destinada ao programa Municipal de apoio de Cultura programa fortalecendo raiz porque é aqui que tudo começa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como forma de incentivo ao produtor rural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. Em andamento Presidente passa a palavra a Vereadora Mariela “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Quero agradecer o espaço senhor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eu fiz essa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ndicação verbal na última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essão e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oje fiz essa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ndicação no papel e peço que seja visto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bons olhos porque aqui nessa casa mesmo todo mundo sabe que o tapete tá curto no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xecutivo e estamos começando esse programa então sabemos que aqui na Câmara é passado 7% do orçamento que vem para o nosso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unicípio que é 10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mil  que vem todo mês aqui </w:t>
      </w:r>
      <w:r w:rsidR="00EC4D8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o Executivo que seja visto com bons olhos isso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que é hoje eu acho que é a classe que mais tá sofrendo aqui nosso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unicípio são as nossas agricultores por isso que eu fiz essa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ndicação aí e deix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 aberto aos demais colegas quem quiser assinar junto essa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ndicação aí para fomentar e esse programa novo aí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nosso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C4D81" w:rsidRPr="00EC4D81">
        <w:rPr>
          <w:rFonts w:ascii="Times New Roman" w:hAnsi="Times New Roman" w:cs="Times New Roman"/>
          <w:color w:val="000000"/>
          <w:sz w:val="24"/>
          <w:szCs w:val="24"/>
        </w:rPr>
        <w:t>unicípio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 xml:space="preserve">”. Indicação recebida.  </w:t>
      </w:r>
      <w:r w:rsidR="00876558" w:rsidRPr="006F6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da INDICACAO N</w:t>
      </w:r>
      <w:r w:rsidR="00876558" w:rsidRPr="00EC4D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° 04</w:t>
      </w:r>
      <w:r w:rsidR="00876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76558" w:rsidRPr="00EC4D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  <w:r w:rsidR="00876558" w:rsidRPr="00EC4D8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Excelentíssimos Senhores membros da mesa diretora da Câmara Municipal de Vereadores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ovo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arreiro RS 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ereador João Carlos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ignini integrante da bancada do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rogressistas PP na forma regimental vem apresentar a presente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>ndicação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 indica ao poder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xecutivo Municipal para que quando da elaboração do calendário de eventos do 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>unicípio para exercício de 2024 não realiza o agendamento de eventos alheios da Semana Farroupilha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6558" w:rsidRPr="00876558">
        <w:rPr>
          <w:rFonts w:ascii="Times New Roman" w:hAnsi="Times New Roman" w:cs="Times New Roman"/>
          <w:color w:val="000000"/>
          <w:sz w:val="24"/>
          <w:szCs w:val="24"/>
        </w:rPr>
        <w:t xml:space="preserve"> da semana de festejos decorrentes da data</w:t>
      </w:r>
      <w:r w:rsidR="008765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Indicação recebida e encaminhada ao Executivo. Em andamento Presidente pediu a palavra “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Eu quero usar um minuto aqui para falar já que não temos grandes expediente para falar da importância dessa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>ndicação que eu fui o propositor e eu queria que os meus colegas todos concordassem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 assinasse que é de grande importância e é uma semana a Semana Farroupilha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 aonde que nós no Rio Grande inteiro ela é comemorada e nós temos dois Centro de Tradições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aúchas aqui e merecemos o mínimo de respeito eu quero encaminhar essa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ndicação para os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unicípios do consórcio porque a última Semana Farroupilha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ós não fomos ouvidos aonde que marcaram decisão de campeonatos durante o evento da Semana Farroupilha a hora que a gente espera um ano para fazer os eventos e aí o pessoal não pode adiar uma decisão do futebol mas nós respeitamos e </w:t>
      </w:r>
      <w:r w:rsidR="004815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81530"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ó </w:t>
      </w:r>
    </w:p>
    <w:p w14:paraId="7CB87961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97747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FFE2F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8078B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25CD3" w14:textId="2117042D" w:rsidR="00CC0DEE" w:rsidRDefault="00481530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que essa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ndicação eu quero que seja vista como bons olhos não somente aqui no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ovo </w:t>
      </w:r>
      <w:proofErr w:type="gramStart"/>
      <w:r w:rsidRPr="00481530">
        <w:rPr>
          <w:rFonts w:ascii="Times New Roman" w:hAnsi="Times New Roman" w:cs="Times New Roman"/>
          <w:color w:val="000000"/>
          <w:sz w:val="24"/>
          <w:szCs w:val="24"/>
        </w:rPr>
        <w:t>Barreiro</w:t>
      </w:r>
      <w:proofErr w:type="gramEnd"/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as aonde que nós pertencemos ao consórcio para não dar não acontecer o que aconteceu na última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>emana Farroupilha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brigado aí pela compreensão de todos e eu espero que o Executivo olha essa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 xml:space="preserve">ndicação e chame nós do Centro de Tradições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481530">
        <w:rPr>
          <w:rFonts w:ascii="Times New Roman" w:hAnsi="Times New Roman" w:cs="Times New Roman"/>
          <w:color w:val="000000"/>
          <w:sz w:val="24"/>
          <w:szCs w:val="24"/>
        </w:rPr>
        <w:t>aúchas para quando fazer o calendário de eventos de 14 a 20 reservar essa data para nós obrigado</w:t>
      </w:r>
      <w:r>
        <w:rPr>
          <w:rFonts w:ascii="Times New Roman" w:hAnsi="Times New Roman" w:cs="Times New Roman"/>
          <w:color w:val="000000"/>
          <w:sz w:val="24"/>
          <w:szCs w:val="24"/>
        </w:rPr>
        <w:t>”. Presidente passa a palavra ao Vereador Claudemir “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Meus cumprimentos a todos os que nos acompanham aqui os colegas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Orlando que tá assistindo no plenário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colegas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servidores da casa eu queria chamar atenção da questão do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xecutivo pessoal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tudo que é feito pelo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xecutivo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egislativo tem que obedecer certos princípios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o ano passado deu muitos problemas com esse calendário de eventos por exemplo as entidades que são cadastradas elas têm que ser notificada dessa reunião daí dá essa bagunça né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ereador não sabe aí por exemplo nós eu sou presidente ninguém ficou sabendo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ntão não é assim que você faz a reunião para organização do calendário de eventos tem que ser amplamente divulgada avisado o pessoal porque senão dá essa bagunça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aí fica ruim para todo mundo né cara, isso aconteceu porque na verdade muita gente não ficou sabendo e não foi nessa reunião e não foi só um nem dois então a reunião do calendário de eventos tem que ser uma data divulgada aqui na Câmara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tem que vir um ofício para cá até porque a lei que criou o calendário de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eventos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tem essa prerrogativa dele tem que convidar as entidades muito obrigado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”. Presidente passa a palavra a Vereadora Mariela “C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oncordo com o qu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eles falaram mas eu como estava como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cretária dessa pasta foi colocada em rádios foi feito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se caso a gente falhou e não ter enviado um ofício aqui para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a Camara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ereadores quero pedir desculpa já desde agora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mas foi sim e as comunidades que nem na reunião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o padre sempre representa as comunidades da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greja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atólica e as demais entidades vem seus representantes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 e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ntão nesse dia até Presidente que você colocou o problema aconteceu com a minha comunidade com o CTG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se o CTG tivesse nessa reunião não teria acontecido tudo que aconteceu esse ano a minha comunidade se revoltou porque se tem um calendário o calendário tem que ser respeitado mas graças a Deus entre conversas tudo se resolveu e deu tudo certo então assim a gente pede para as pessoas participar que o CTG venha participar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 xml:space="preserve"> vou pedir para Camila ter uma atenção que ela que cuida dessa parte para Semana Farroupilha ali o CTG vir ali marcar porque isso é feito um agendamento antecipado né como todo mundo sabe 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E12A9" w:rsidRPr="00CE12A9">
        <w:rPr>
          <w:rFonts w:ascii="Times New Roman" w:hAnsi="Times New Roman" w:cs="Times New Roman"/>
          <w:color w:val="000000"/>
          <w:sz w:val="24"/>
          <w:szCs w:val="24"/>
        </w:rPr>
        <w:t>ara não acontecer o que aconteceu nesse último ano</w:t>
      </w:r>
      <w:r w:rsidR="00CE12A9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CC0DEE">
        <w:rPr>
          <w:rFonts w:ascii="Times New Roman" w:hAnsi="Times New Roman" w:cs="Times New Roman"/>
          <w:color w:val="000000"/>
          <w:sz w:val="24"/>
          <w:szCs w:val="24"/>
        </w:rPr>
        <w:t xml:space="preserve">Em andamento foi realizado a leitura do convite para o 12° Rodeiro do CTG Cancela da Palmeira, também foi realizada a leitura do convite para a festa da comunidade Posse dos Camargos. </w:t>
      </w:r>
      <w:r w:rsidR="00CC0DEE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CC0DE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CC0DE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C0DE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CC0DEE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CC0DEE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CC0D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9FC840" w14:textId="77777777" w:rsidR="00CC0DEE" w:rsidRDefault="00CC0DEE" w:rsidP="00CC0D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1E5D7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B6B317C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A565939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DA9A29F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FD0691A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95D0540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09F5D49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CCAAF15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6AB923E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F1637A7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261E76B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0F7E756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172A4A3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9C4FB32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4E55FAB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E742C2B" w14:textId="77777777" w:rsidR="00CC0DEE" w:rsidRDefault="00CC0DEE" w:rsidP="00CC0DEE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9CF40DF" w14:textId="77777777" w:rsidR="00CC0DEE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EF856EB" w14:textId="6BDF27A9" w:rsidR="00CC0DEE" w:rsidRPr="00071E63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Joao Carlos Bignini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482B6025" w14:textId="77777777" w:rsidR="00CC0DEE" w:rsidRPr="00071E63" w:rsidRDefault="00CC0DEE" w:rsidP="00CC0DE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CC0DEE" w:rsidRPr="00071E63" w14:paraId="3E0F2F5F" w14:textId="77777777" w:rsidTr="00453CFC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143F23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F76E" w14:textId="7163AC87" w:rsidR="00CC0DEE" w:rsidRPr="00071E63" w:rsidRDefault="00CC0DEE" w:rsidP="00CC0DEE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7675F438" w14:textId="77777777" w:rsidTr="00453CFC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92574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BA17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6F3507F3" w14:textId="77777777" w:rsidTr="00453CFC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270FE4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967EF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72B702AF" w14:textId="77777777" w:rsidTr="00453CFC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7EE418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Volmar da Silva Tonello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15F6E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4A4974AD" w14:textId="77777777" w:rsidTr="00453CFC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EEDA00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E1786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39A57208" w14:textId="77777777" w:rsidTr="00453CFC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DFA91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29831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647F8283" w14:textId="77777777" w:rsidTr="00453CFC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147BC5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CE664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1E17AA90" w14:textId="77777777" w:rsidTr="00453CFC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BEC2EB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8775A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C0DEE" w:rsidRPr="00071E63" w14:paraId="03D1BF01" w14:textId="77777777" w:rsidTr="00453CFC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71B40" w14:textId="77777777" w:rsidR="00CC0DEE" w:rsidRPr="00071E63" w:rsidRDefault="00CC0DEE" w:rsidP="00453CFC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1DEB" w14:textId="77777777" w:rsidR="00CC0DEE" w:rsidRPr="00071E63" w:rsidRDefault="00CC0DEE" w:rsidP="00453CFC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20993BF1" w14:textId="77777777" w:rsidR="00CC0DEE" w:rsidRPr="00B24704" w:rsidRDefault="00CC0DEE" w:rsidP="00CC0DEE">
      <w:pPr>
        <w:jc w:val="both"/>
      </w:pPr>
    </w:p>
    <w:p w14:paraId="0F3D17F0" w14:textId="319D5755" w:rsidR="008C67A8" w:rsidRPr="00EC4D81" w:rsidRDefault="008C67A8" w:rsidP="0023519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67A8" w:rsidRPr="00EC4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36"/>
    <w:rsid w:val="00176A93"/>
    <w:rsid w:val="0023519F"/>
    <w:rsid w:val="002A7121"/>
    <w:rsid w:val="002B7A3F"/>
    <w:rsid w:val="003F0036"/>
    <w:rsid w:val="00481530"/>
    <w:rsid w:val="006F6B50"/>
    <w:rsid w:val="00876558"/>
    <w:rsid w:val="008C67A8"/>
    <w:rsid w:val="00CC0DEE"/>
    <w:rsid w:val="00CE12A9"/>
    <w:rsid w:val="00E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A01B"/>
  <w15:chartTrackingRefBased/>
  <w15:docId w15:val="{58A2EC7B-7784-41C0-B197-20D615AC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3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3F0036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2023-10-16T16:07:00Z</dcterms:created>
  <dcterms:modified xsi:type="dcterms:W3CDTF">2023-10-16T16:07:00Z</dcterms:modified>
</cp:coreProperties>
</file>