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4D" w:rsidRDefault="00C1724D" w:rsidP="00C1724D">
      <w:pPr>
        <w:spacing w:line="360" w:lineRule="auto"/>
        <w:jc w:val="both"/>
        <w:rPr>
          <w:rStyle w:val="nfase"/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C1724D" w:rsidRPr="008003FD" w:rsidRDefault="00C1724D" w:rsidP="00C1724D">
      <w:pPr>
        <w:spacing w:line="36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003FD">
        <w:rPr>
          <w:rStyle w:val="nfase"/>
          <w:rFonts w:ascii="Times New Roman" w:eastAsia="Calibri" w:hAnsi="Times New Roman"/>
          <w:sz w:val="24"/>
          <w:szCs w:val="24"/>
        </w:rPr>
        <w:t>A CÂMARA MUNICIPAL DE VEREADORES DE NOVO BARR</w:t>
      </w:r>
      <w:r>
        <w:rPr>
          <w:rStyle w:val="nfase"/>
          <w:rFonts w:ascii="Times New Roman" w:eastAsia="Calibri" w:hAnsi="Times New Roman"/>
          <w:sz w:val="24"/>
          <w:szCs w:val="24"/>
        </w:rPr>
        <w:t xml:space="preserve">EIRO/RS, APROVOU NA SESSÃO </w:t>
      </w:r>
      <w:r>
        <w:rPr>
          <w:rStyle w:val="nfase"/>
          <w:rFonts w:ascii="Times New Roman" w:hAnsi="Times New Roman"/>
          <w:sz w:val="24"/>
          <w:szCs w:val="24"/>
        </w:rPr>
        <w:t>ORDINÁRIA, REALIZADA NO DIA 29</w:t>
      </w:r>
      <w:r w:rsidRPr="008003FD">
        <w:rPr>
          <w:rStyle w:val="nfase"/>
          <w:rFonts w:ascii="Times New Roman" w:eastAsia="Calibri" w:hAnsi="Times New Roman"/>
          <w:sz w:val="24"/>
          <w:szCs w:val="24"/>
        </w:rPr>
        <w:t xml:space="preserve"> DE MARÇO DE 2021, O SEGUINTE PROJETO DE LEI DE AUTORIA DO PODER EXECUTIVO, COM A REDAÇÃO QUE SEGUE:</w:t>
      </w:r>
    </w:p>
    <w:p w:rsidR="00C1724D" w:rsidRDefault="00C1724D" w:rsidP="00FA65C3">
      <w:pPr>
        <w:ind w:firstLine="851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C1724D" w:rsidRPr="00C1724D" w:rsidRDefault="00C1724D" w:rsidP="00FA65C3">
      <w:pPr>
        <w:ind w:firstLine="851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C1724D" w:rsidRDefault="00C1724D" w:rsidP="00FA65C3">
      <w:pPr>
        <w:ind w:firstLine="851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:rsidR="000B4F43" w:rsidRPr="00C1724D" w:rsidRDefault="001F3C0B" w:rsidP="00FA65C3">
      <w:pPr>
        <w:ind w:firstLine="851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C1724D">
        <w:rPr>
          <w:rFonts w:ascii="Times New Roman" w:hAnsi="Times New Roman"/>
          <w:b/>
          <w:iCs/>
          <w:color w:val="000000" w:themeColor="text1"/>
          <w:sz w:val="26"/>
          <w:szCs w:val="26"/>
        </w:rPr>
        <w:t>PROJETO DE LEI Nº 022/2021, DE 22 DE MARÇO DE 2021.</w:t>
      </w:r>
    </w:p>
    <w:p w:rsidR="00AA3E29" w:rsidRDefault="00AA3E29" w:rsidP="00FA65C3">
      <w:pPr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C1724D" w:rsidRDefault="00C1724D" w:rsidP="00FA65C3">
      <w:pPr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C1724D" w:rsidRPr="00C1724D" w:rsidRDefault="00C1724D" w:rsidP="00FA65C3">
      <w:pPr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AA3E29" w:rsidRPr="00C1724D" w:rsidRDefault="00AA3E29" w:rsidP="00FA65C3">
      <w:pPr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Pr="00C1724D" w:rsidRDefault="00FA65C3" w:rsidP="00C1724D">
      <w:pPr>
        <w:pStyle w:val="Recuodecorpodetexto"/>
        <w:ind w:left="2835" w:hanging="1560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</w:r>
      <w:r w:rsidR="000B4F43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R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eestrutura o C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onselho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Municipal de A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com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panhamento e C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ontrole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S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ocial do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F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undo de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M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anutenção e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D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esenvolvi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mento da E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ducação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B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ásica e de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V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alorização dos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P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rofissionais da 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E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ducação – CACS FUNDEB – e da o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u</w:t>
      </w:r>
      <w:r w:rsid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tras providê</w:t>
      </w:r>
      <w:r w:rsidR="00C1724D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ncias. </w:t>
      </w:r>
    </w:p>
    <w:p w:rsidR="000B4F43" w:rsidRPr="00C1724D" w:rsidRDefault="000B4F43" w:rsidP="00FA65C3">
      <w:pPr>
        <w:pStyle w:val="Recuodecorpodetexto"/>
        <w:ind w:left="1701" w:hanging="1701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Default="000B4F43" w:rsidP="00FA65C3">
      <w:pPr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</w:p>
    <w:p w:rsidR="00C1724D" w:rsidRPr="00C1724D" w:rsidRDefault="00C1724D" w:rsidP="00FA65C3">
      <w:pPr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FA65C3" w:rsidRPr="00C1724D" w:rsidRDefault="00FA65C3" w:rsidP="00FA65C3">
      <w:pPr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Pr="00C1724D" w:rsidRDefault="000B4F43" w:rsidP="00FA65C3">
      <w:pPr>
        <w:pStyle w:val="Corpodetexto"/>
        <w:tabs>
          <w:tab w:val="left" w:pos="1134"/>
        </w:tabs>
        <w:spacing w:before="0" w:line="240" w:lineRule="auto"/>
        <w:ind w:firstLine="851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Art. 1°</w:t>
      </w:r>
      <w:r w:rsidR="00FA65C3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Reestrutura o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Conselho Municipal de Acompanhamento e </w:t>
      </w:r>
      <w:r w:rsidR="00944503" w:rsidRPr="00C1724D">
        <w:rPr>
          <w:rFonts w:ascii="Times New Roman" w:hAnsi="Times New Roman"/>
          <w:color w:val="000000" w:themeColor="text1"/>
          <w:sz w:val="24"/>
          <w:szCs w:val="24"/>
        </w:rPr>
        <w:t>Controle Social do Fundo de Manu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tenção e Desenvolvimento da Educação Básica e de valorização dos Profi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sionais da Educação – CACS FUNDEB</w:t>
      </w:r>
      <w:r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, </w:t>
      </w:r>
      <w:r w:rsidR="006C797E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do Município de</w:t>
      </w:r>
      <w:r w:rsidR="00924130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Novo Barreiro</w:t>
      </w:r>
      <w:r w:rsidR="006C797E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– RS, de acordo com a </w:t>
      </w:r>
      <w:r w:rsidR="00944503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>Lei Federal n</w:t>
      </w:r>
      <w:r w:rsidR="00975856" w:rsidRPr="00C1724D">
        <w:rPr>
          <w:rFonts w:ascii="Times New Roman" w:hAnsi="Times New Roman"/>
          <w:color w:val="000000" w:themeColor="text1"/>
          <w:sz w:val="24"/>
          <w:szCs w:val="24"/>
        </w:rPr>
        <w:t>º</w:t>
      </w:r>
      <w:r w:rsidR="006C797E"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14.113 de 25 de dezembro de 2020. 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6C797E" w:rsidRPr="00C1724D" w:rsidRDefault="000B4F43" w:rsidP="00FA65C3">
      <w:pPr>
        <w:tabs>
          <w:tab w:val="left" w:pos="1134"/>
          <w:tab w:val="left" w:pos="1412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Art. 2°</w:t>
      </w:r>
      <w:r w:rsidR="00FA65C3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</w:t>
      </w:r>
      <w:r w:rsidR="00802A3F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C797E" w:rsidRPr="00C1724D">
        <w:rPr>
          <w:rFonts w:ascii="Times New Roman" w:hAnsi="Times New Roman"/>
          <w:color w:val="000000" w:themeColor="text1"/>
          <w:sz w:val="24"/>
          <w:szCs w:val="24"/>
        </w:rPr>
        <w:t>Conselho será constituído por 1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3 (treze</w:t>
      </w:r>
      <w:r w:rsidR="006C797E" w:rsidRPr="00C1724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797E" w:rsidRPr="00C1724D">
        <w:rPr>
          <w:rFonts w:ascii="Times New Roman" w:hAnsi="Times New Roman"/>
          <w:color w:val="000000" w:themeColor="text1"/>
          <w:sz w:val="24"/>
          <w:szCs w:val="24"/>
        </w:rPr>
        <w:t>membros, sendo:</w:t>
      </w:r>
    </w:p>
    <w:p w:rsidR="00C649BD" w:rsidRPr="00C1724D" w:rsidRDefault="006C797E" w:rsidP="00C1724D">
      <w:pPr>
        <w:tabs>
          <w:tab w:val="left" w:pos="1134"/>
          <w:tab w:val="left" w:pos="1412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1 (um) representante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da Secretaria Municipal de Educação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797E" w:rsidRPr="00C1724D" w:rsidRDefault="006C797E" w:rsidP="00C1724D">
      <w:pPr>
        <w:tabs>
          <w:tab w:val="left" w:pos="1134"/>
          <w:tab w:val="left" w:pos="1412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1 (um) representante dos professores da 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Rede Municipal de e</w:t>
      </w:r>
      <w:r w:rsidR="009A1515" w:rsidRPr="00C1724D">
        <w:rPr>
          <w:rFonts w:ascii="Times New Roman" w:hAnsi="Times New Roman"/>
          <w:color w:val="000000" w:themeColor="text1"/>
          <w:sz w:val="24"/>
          <w:szCs w:val="24"/>
        </w:rPr>
        <w:t>nsino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797E" w:rsidRPr="00C1724D" w:rsidRDefault="006C797E" w:rsidP="00C1724D">
      <w:pPr>
        <w:tabs>
          <w:tab w:val="left" w:pos="1134"/>
          <w:tab w:val="left" w:pos="1412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1 (um) representante do</w:t>
      </w:r>
      <w:r w:rsidR="009A1515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s diretores das escolas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públicas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="001560E3" w:rsidRPr="00C1724D">
        <w:rPr>
          <w:rFonts w:ascii="Times New Roman" w:hAnsi="Times New Roman"/>
          <w:color w:val="000000" w:themeColor="text1"/>
          <w:sz w:val="24"/>
          <w:szCs w:val="24"/>
        </w:rPr>
        <w:t>unicipais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797E" w:rsidRPr="00C1724D" w:rsidRDefault="006C797E" w:rsidP="00C1724D">
      <w:pPr>
        <w:tabs>
          <w:tab w:val="left" w:pos="1134"/>
          <w:tab w:val="left" w:pos="1412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IV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1 (um) representante dos servidores técni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co-administrativos das escolas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blicas</w:t>
      </w:r>
      <w:r w:rsidR="001560E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municipais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797E" w:rsidRPr="00C1724D" w:rsidRDefault="006C797E" w:rsidP="00C1724D">
      <w:pPr>
        <w:tabs>
          <w:tab w:val="left" w:pos="1134"/>
          <w:tab w:val="left" w:pos="1412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V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2 (dois) representantes dos pais de alunos da 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Rede Municipal de e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sino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797E" w:rsidRPr="00C1724D" w:rsidRDefault="006C797E" w:rsidP="00C1724D">
      <w:pPr>
        <w:tabs>
          <w:tab w:val="left" w:pos="1134"/>
          <w:tab w:val="left" w:pos="1412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VI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1 (um) representante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dos estudantes da educação básica 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de rede Municipal de Ensino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797E" w:rsidRPr="00C1724D" w:rsidRDefault="006C797E" w:rsidP="00C1724D">
      <w:pPr>
        <w:tabs>
          <w:tab w:val="left" w:pos="1134"/>
          <w:tab w:val="left" w:pos="1412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VII –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01 (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um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representante do 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Conselho Municipal de Educação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797E" w:rsidRPr="00C1724D" w:rsidRDefault="006C797E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VIII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01 (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um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representante do Conselho Tutelar;</w:t>
      </w:r>
    </w:p>
    <w:p w:rsidR="006C797E" w:rsidRPr="00C1724D" w:rsidRDefault="006C797E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IX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2 (dois) representantes de organizações da sociedade civil;</w:t>
      </w:r>
    </w:p>
    <w:p w:rsidR="00C649BD" w:rsidRPr="00C1724D" w:rsidRDefault="006C797E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X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1 (um) representante das escolas do campo</w:t>
      </w:r>
    </w:p>
    <w:p w:rsidR="00C649BD" w:rsidRPr="00C1724D" w:rsidRDefault="00C649B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XI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01 (um) representante do Poder Executivo. </w:t>
      </w:r>
    </w:p>
    <w:p w:rsidR="00C649BD" w:rsidRPr="00C1724D" w:rsidRDefault="00C649B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2A3F" w:rsidRPr="00C1724D" w:rsidRDefault="006C797E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  <w:r w:rsidR="00CF2097" w:rsidRPr="00C1724D">
        <w:rPr>
          <w:rFonts w:ascii="Times New Roman" w:hAnsi="Times New Roman"/>
          <w:b/>
          <w:color w:val="000000" w:themeColor="text1"/>
          <w:sz w:val="24"/>
          <w:szCs w:val="24"/>
        </w:rPr>
        <w:t>º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Para cada membro titular deverá ser indicado e nomeado um suplente, repr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sentante da mes</w:t>
      </w:r>
      <w:r w:rsidR="00CF2097" w:rsidRPr="00C1724D">
        <w:rPr>
          <w:rFonts w:ascii="Times New Roman" w:hAnsi="Times New Roman"/>
          <w:color w:val="000000" w:themeColor="text1"/>
          <w:sz w:val="24"/>
          <w:szCs w:val="24"/>
        </w:rPr>
        <w:t>ma categoria ou se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gmento social, que substituirá o titular em seus imped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mentos temporários, provisórios e em seus afastamentos definit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vos, ocorridos antes do fim do mandato atribuído ao Conselheiro. </w:t>
      </w:r>
    </w:p>
    <w:p w:rsidR="00CF2097" w:rsidRPr="00C1724D" w:rsidRDefault="00AF1DDC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representante do Poder Executivo</w:t>
      </w:r>
      <w:proofErr w:type="gramStart"/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>, deve</w:t>
      </w:r>
      <w:proofErr w:type="gramEnd"/>
      <w:r w:rsidR="00CF2097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ser</w:t>
      </w:r>
      <w:r w:rsidR="00C649BD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indicado</w:t>
      </w:r>
      <w:r w:rsidR="00CF2097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pelos gestores munic</w:t>
      </w:r>
      <w:r w:rsidR="00CF2097" w:rsidRPr="00C1724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CF2097" w:rsidRPr="00C1724D">
        <w:rPr>
          <w:rFonts w:ascii="Times New Roman" w:hAnsi="Times New Roman"/>
          <w:color w:val="000000" w:themeColor="text1"/>
          <w:sz w:val="24"/>
          <w:szCs w:val="24"/>
        </w:rPr>
        <w:t>pais;</w:t>
      </w:r>
    </w:p>
    <w:p w:rsidR="000B4F43" w:rsidRPr="00C1724D" w:rsidRDefault="00CF2097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 -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s representantes dos diretores, pais de alunos e estudantes devem ser indic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dos, em seus pares, pelos respectivos segmentos, através de processo 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letivo organizado para esse fim;</w:t>
      </w:r>
    </w:p>
    <w:p w:rsidR="000B4F43" w:rsidRPr="00C1724D" w:rsidRDefault="00CF2097" w:rsidP="00FA65C3">
      <w:pPr>
        <w:pStyle w:val="Recuodecorpodetexto21"/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III -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s representantes dos professores e dos servidores técnico-administrativos, a indicação deverá ser feita pelas entidades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de classe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respectivas, através de seus Preside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tes, utilizando-se de processo e</w:t>
      </w:r>
      <w:r w:rsidR="008844F5" w:rsidRPr="00C1724D">
        <w:rPr>
          <w:rFonts w:ascii="Times New Roman" w:hAnsi="Times New Roman"/>
          <w:color w:val="000000" w:themeColor="text1"/>
          <w:sz w:val="24"/>
          <w:szCs w:val="24"/>
        </w:rPr>
        <w:t>letivo organizado para esse fim;</w:t>
      </w:r>
    </w:p>
    <w:p w:rsidR="00802A3F" w:rsidRPr="00C1724D" w:rsidRDefault="00CF2097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IV -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os casos de organizações da sociedade civil, em processo eletivo dotado de ampla publicidade a ser </w:t>
      </w:r>
      <w:proofErr w:type="gramStart"/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regulamento pelo Município, vedada</w:t>
      </w:r>
      <w:proofErr w:type="gramEnd"/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a partic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pação de entidades que figurem como beneficiárias de recursos fiscalizados pelo Conselho ou como contrat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02A3F" w:rsidRPr="00C1724D">
        <w:rPr>
          <w:rFonts w:ascii="Times New Roman" w:hAnsi="Times New Roman"/>
          <w:color w:val="000000" w:themeColor="text1"/>
          <w:sz w:val="24"/>
          <w:szCs w:val="24"/>
        </w:rPr>
        <w:t>das da Administração da localidade a título oneroso.</w:t>
      </w:r>
    </w:p>
    <w:p w:rsidR="00FA65C3" w:rsidRPr="00C1724D" w:rsidRDefault="00FA65C3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2A3F" w:rsidRPr="00C1724D" w:rsidRDefault="00802A3F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8844F5" w:rsidRPr="00C1724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F2097" w:rsidRPr="00C1724D">
        <w:rPr>
          <w:rFonts w:ascii="Times New Roman" w:hAnsi="Times New Roman"/>
          <w:b/>
          <w:color w:val="000000" w:themeColor="text1"/>
          <w:sz w:val="24"/>
          <w:szCs w:val="24"/>
        </w:rPr>
        <w:t>º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As organizações da sociedade civil a que se refere este artigo: </w:t>
      </w:r>
    </w:p>
    <w:p w:rsidR="00802A3F" w:rsidRPr="00C1724D" w:rsidRDefault="00802A3F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ão pessoas jurídicas de direito privado sem fins lucrativos, nos termos da Lei nº 13.019, de 31 de julho de 2014;</w:t>
      </w:r>
    </w:p>
    <w:p w:rsidR="00802A3F" w:rsidRPr="00C1724D" w:rsidRDefault="00802A3F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esenvolvem atividades direcionadas à localidade do respectivo Co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selho;</w:t>
      </w:r>
    </w:p>
    <w:p w:rsidR="00802A3F" w:rsidRPr="00C1724D" w:rsidRDefault="00802A3F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III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evem atestar o seu funcionamento há pelo menos </w:t>
      </w:r>
      <w:proofErr w:type="gramStart"/>
      <w:r w:rsidRPr="00C1724D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(um) ano contado da data de publicação do edital;</w:t>
      </w:r>
    </w:p>
    <w:p w:rsidR="00802A3F" w:rsidRPr="00C1724D" w:rsidRDefault="00802A3F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IV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esenvolvem atividades relacionadas à educação ou ao controle social dos gastos públicos;</w:t>
      </w:r>
    </w:p>
    <w:p w:rsidR="00802A3F" w:rsidRPr="00C1724D" w:rsidRDefault="00802A3F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V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ão figuram como beneficiárias de recursos fiscalizados pelo Conselho ou como contratadas da Administração da localidade a título oneroso.</w:t>
      </w:r>
    </w:p>
    <w:p w:rsidR="00AF1DDC" w:rsidRPr="00C1724D" w:rsidRDefault="00AF1DDC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§</w:t>
      </w:r>
      <w:r w:rsidR="008844F5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3</w:t>
      </w: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º</w:t>
      </w:r>
      <w:r w:rsidR="00012B5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Realizadas as indicações, a Prefeita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, através de ato próprio, fará as designações para o exercício das funções de conselheiro.</w:t>
      </w:r>
    </w:p>
    <w:p w:rsidR="00234DFD" w:rsidRPr="00C1724D" w:rsidRDefault="008844F5" w:rsidP="00FA65C3">
      <w:pPr>
        <w:pStyle w:val="Recuodecorpodetexto21"/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 -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O ato legal de nomeação dos membros do Conselho deverá conter o nome completo dos Conselheiros, a situação de titularidade ou suplência, a indicação do segme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to por eles representado e o respectivo período de vigência do mandato. </w:t>
      </w:r>
    </w:p>
    <w:p w:rsidR="00AF1DDC" w:rsidRPr="00C1724D" w:rsidRDefault="00AF1DDC" w:rsidP="00FA65C3">
      <w:pPr>
        <w:pStyle w:val="Recuodecorpodetexto21"/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234DFD" w:rsidRPr="00C1724D" w:rsidRDefault="00234DFD" w:rsidP="00FA65C3">
      <w:pPr>
        <w:pStyle w:val="Recuodecorpodetexto21"/>
        <w:spacing w:before="0" w:line="240" w:lineRule="auto"/>
        <w:ind w:firstLine="851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 xml:space="preserve">§ </w:t>
      </w:r>
      <w:r w:rsidR="00AF1DDC"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4</w:t>
      </w: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º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A indicação e a designação dos conselheiros e suplentes deverão 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o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correr:</w:t>
      </w:r>
    </w:p>
    <w:p w:rsidR="00234DFD" w:rsidRPr="00C1724D" w:rsidRDefault="00234DFD" w:rsidP="00FA65C3">
      <w:pPr>
        <w:pStyle w:val="Recuodecorpodetexto21"/>
        <w:spacing w:before="0" w:line="240" w:lineRule="auto"/>
        <w:ind w:firstLine="851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I -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té 20 (vinte) dias antes do término do mandato dos conselheiros anteriores, conforme disposto no § 2º deste artigo;</w:t>
      </w:r>
    </w:p>
    <w:p w:rsidR="00234DFD" w:rsidRPr="00C1724D" w:rsidRDefault="00234DFD" w:rsidP="00FA65C3">
      <w:pPr>
        <w:pStyle w:val="Recuodecorpodetexto21"/>
        <w:spacing w:before="0" w:line="240" w:lineRule="auto"/>
        <w:ind w:firstLine="851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 xml:space="preserve">II - </w:t>
      </w:r>
      <w:r w:rsidR="00AF1DDC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I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mediatamente, nas hipóteses de afastamento do conselheiro, titular ou suple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n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te, em caráter definitivo, antes do término do mandato.</w:t>
      </w:r>
    </w:p>
    <w:p w:rsidR="00234DFD" w:rsidRPr="00C1724D" w:rsidRDefault="00234DFD" w:rsidP="00FA65C3">
      <w:pPr>
        <w:pStyle w:val="Recuodecorpodetexto21"/>
        <w:spacing w:before="0" w:line="240" w:lineRule="auto"/>
        <w:ind w:firstLine="851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III –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I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mediatamente, nos afastamentos temporários.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234DFD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Art. 3º.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75D54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 atuação dos membros do </w:t>
      </w:r>
      <w:r w:rsidR="00234DFD" w:rsidRPr="00C1724D">
        <w:rPr>
          <w:rFonts w:ascii="Times New Roman" w:hAnsi="Times New Roman"/>
          <w:color w:val="000000" w:themeColor="text1"/>
          <w:sz w:val="24"/>
          <w:szCs w:val="24"/>
        </w:rPr>
        <w:t>CACS FUNDEB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34DFD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867A7" w:rsidRPr="00C1724D" w:rsidRDefault="007867A7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ão é remunerada;</w:t>
      </w:r>
    </w:p>
    <w:p w:rsidR="007867A7" w:rsidRPr="00C1724D" w:rsidRDefault="007867A7" w:rsidP="00C1724D">
      <w:pPr>
        <w:autoSpaceDE w:val="0"/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considerada atividade de relevante interesse social;</w:t>
      </w:r>
    </w:p>
    <w:p w:rsidR="007867A7" w:rsidRPr="00C1724D" w:rsidRDefault="007867A7" w:rsidP="00C1724D">
      <w:pPr>
        <w:tabs>
          <w:tab w:val="left" w:pos="1134"/>
        </w:tabs>
        <w:autoSpaceDE w:val="0"/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III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ssegura isenção da obrigatoriedade de testemunhar sobre informações rec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bidas ou prestadas em razão do exercício de suas atividades de conselheiro e sobre as pe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soas que lhes confiarem ou deles receberem informações;</w:t>
      </w:r>
    </w:p>
    <w:p w:rsidR="007867A7" w:rsidRPr="00C1724D" w:rsidRDefault="007867A7" w:rsidP="00C1724D">
      <w:pPr>
        <w:tabs>
          <w:tab w:val="left" w:pos="1134"/>
        </w:tabs>
        <w:autoSpaceDE w:val="0"/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IV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eda, quando os conselheiros forem representantes de professores e diretores ou de servidores das escolas públicas, no curso do mandato:</w:t>
      </w:r>
    </w:p>
    <w:p w:rsidR="007867A7" w:rsidRPr="00C1724D" w:rsidRDefault="007867A7" w:rsidP="00C1724D">
      <w:pPr>
        <w:tabs>
          <w:tab w:val="left" w:pos="1134"/>
        </w:tabs>
        <w:autoSpaceDE w:val="0"/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proofErr w:type="gramEnd"/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  exoneração de ofício ou demissão do cargo ou emprego sem justa causa ou transferência involuntária do estabelecimento de ensino em que atuam; </w:t>
      </w:r>
    </w:p>
    <w:p w:rsidR="007867A7" w:rsidRPr="00C1724D" w:rsidRDefault="007867A7" w:rsidP="00C1724D">
      <w:pPr>
        <w:tabs>
          <w:tab w:val="left" w:pos="1134"/>
        </w:tabs>
        <w:autoSpaceDE w:val="0"/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b)</w:t>
      </w:r>
      <w:proofErr w:type="gramEnd"/>
      <w:r w:rsidRPr="00C1724D">
        <w:rPr>
          <w:rFonts w:ascii="Times New Roman" w:hAnsi="Times New Roman"/>
          <w:color w:val="000000" w:themeColor="text1"/>
          <w:sz w:val="24"/>
          <w:szCs w:val="24"/>
        </w:rPr>
        <w:t>  atribuição de falta injustificada ao serviço em função das atividades do Cons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lho; </w:t>
      </w:r>
    </w:p>
    <w:p w:rsidR="007867A7" w:rsidRPr="00C1724D" w:rsidRDefault="007867A7" w:rsidP="00C1724D">
      <w:pPr>
        <w:tabs>
          <w:tab w:val="left" w:pos="1134"/>
        </w:tabs>
        <w:autoSpaceDE w:val="0"/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c)</w:t>
      </w:r>
      <w:proofErr w:type="gramEnd"/>
      <w:r w:rsidRPr="00C1724D">
        <w:rPr>
          <w:rFonts w:ascii="Times New Roman" w:hAnsi="Times New Roman"/>
          <w:color w:val="000000" w:themeColor="text1"/>
          <w:sz w:val="24"/>
          <w:szCs w:val="24"/>
        </w:rPr>
        <w:t>  afastamento involuntário e injustificado da condição de conselheiro antes do término do mandato p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ara o qual tenha sido designado.</w:t>
      </w:r>
    </w:p>
    <w:p w:rsidR="007867A7" w:rsidRPr="00C1724D" w:rsidRDefault="007867A7" w:rsidP="00C1724D">
      <w:pPr>
        <w:tabs>
          <w:tab w:val="left" w:pos="1134"/>
        </w:tabs>
        <w:autoSpaceDE w:val="0"/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V -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veda, quando os conselheiros forem representantes de estudantes em atividades do Conselho, no curso do mandato, atribuição de falta injustificada nas atividades escol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res.</w:t>
      </w:r>
    </w:p>
    <w:p w:rsidR="00AF1DDC" w:rsidRPr="00C1724D" w:rsidRDefault="00AF1DDC" w:rsidP="00C1724D">
      <w:pPr>
        <w:tabs>
          <w:tab w:val="left" w:pos="1134"/>
        </w:tabs>
        <w:autoSpaceDE w:val="0"/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4F43" w:rsidRPr="00C1724D" w:rsidRDefault="00AA3E29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Parágrafo Único</w:t>
      </w:r>
      <w:r w:rsidR="000B4F43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="000B4F4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Os Conselheiros, quando em representação fora do Município ou a serviço 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dos órgãos</w:t>
      </w:r>
      <w:r w:rsidR="000B4F4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colegiado, terão direito a diárias nos mesmos termos dos Servidores Públicos Municipais, bem como o ressarcimento das respectivas passagens, mediante co</w:t>
      </w:r>
      <w:r w:rsidR="000B4F4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m</w:t>
      </w:r>
      <w:r w:rsidR="000B4F4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provação legal, quando o deslocamento não for efetuado com veículo oficial.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Art. 4°</w:t>
      </w:r>
      <w:r w:rsidR="00AF1DDC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São impedidos de integrar o Conselho: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I –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T</w:t>
      </w:r>
      <w:r w:rsidR="008844F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itulares dos mandatos de Prefeito, de Vice-Prefeito e de Secretário Municipal, bem como de 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cônjuge e parentes </w:t>
      </w:r>
      <w:r w:rsidR="00FC7070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consanguíneos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ou afins, até terceiro grau</w:t>
      </w:r>
      <w:r w:rsidR="008844F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8844F5" w:rsidRPr="00C1724D" w:rsidRDefault="00AF1DDC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iCs/>
          <w:color w:val="000000" w:themeColor="text1"/>
          <w:sz w:val="24"/>
          <w:szCs w:val="24"/>
        </w:rPr>
        <w:t>II –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</w:t>
      </w:r>
      <w:r w:rsidR="008844F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itulares do mandato de Vereador;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lastRenderedPageBreak/>
        <w:t>II –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esoureiro, contador</w:t>
      </w:r>
      <w:r w:rsidR="008844F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, técnico de contabilidade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ou funcionário de empresa de assessoria ou consultoria que prestem serviços relacionados à administração ou controle interno dos recursos do Fundo, bem como cônjuges, parentes </w:t>
      </w:r>
      <w:r w:rsidR="00FC7070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consanguíneos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ou afins, até terce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i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ro grau, desses profissionais;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III –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studantes menores de 18 anos, que não sejam emancipados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; </w:t>
      </w:r>
      <w:proofErr w:type="gramStart"/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e</w:t>
      </w:r>
      <w:proofErr w:type="gramEnd"/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IV –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P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ais de alunos que:</w:t>
      </w:r>
    </w:p>
    <w:p w:rsidR="00FC7070" w:rsidRPr="00C1724D" w:rsidRDefault="00FC7070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iCs/>
          <w:color w:val="000000" w:themeColor="text1"/>
          <w:sz w:val="24"/>
          <w:szCs w:val="24"/>
        </w:rPr>
        <w:t>a)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E</w:t>
      </w:r>
      <w:r w:rsidR="000B4F4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xerçam cargos ou funções públicas de livre nomeação e exoneração no âmbito dos órgãos do Poder Executivo Municipal; </w:t>
      </w:r>
      <w:proofErr w:type="gramStart"/>
      <w:r w:rsidR="000B4F4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ou</w:t>
      </w:r>
      <w:proofErr w:type="gramEnd"/>
    </w:p>
    <w:p w:rsidR="000B4F43" w:rsidRPr="00C1724D" w:rsidRDefault="00FC7070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iCs/>
          <w:color w:val="000000" w:themeColor="text1"/>
          <w:sz w:val="24"/>
          <w:szCs w:val="24"/>
        </w:rPr>
        <w:t>b)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P</w:t>
      </w:r>
      <w:r w:rsidR="000B4F4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restem serviços terceirizados, no âmbi</w:t>
      </w:r>
      <w:r w:rsidR="008844F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to do Poder Executivo Municipal em que atua o respectivo Conselho.</w:t>
      </w:r>
    </w:p>
    <w:p w:rsidR="00AF1DDC" w:rsidRPr="00C1724D" w:rsidRDefault="00AF1DDC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Pr="00C1724D" w:rsidRDefault="00234DFD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iCs/>
          <w:color w:val="000000" w:themeColor="text1"/>
          <w:sz w:val="24"/>
          <w:szCs w:val="24"/>
        </w:rPr>
        <w:t>Parágrafo</w:t>
      </w:r>
      <w:r w:rsidR="008844F5" w:rsidRPr="00C1724D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Único:</w:t>
      </w:r>
      <w:r w:rsidR="008844F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na hipótese inexistência de estudantes emancipados, a represe</w:t>
      </w:r>
      <w:r w:rsidR="008844F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n</w:t>
      </w:r>
      <w:r w:rsidR="008844F5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tação estudantil poderá acompanhar as reuniões do Conselho somente com direito a voz.</w:t>
      </w:r>
    </w:p>
    <w:p w:rsidR="00AF1DDC" w:rsidRPr="00C1724D" w:rsidRDefault="00AF1DDC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FA65C3" w:rsidRPr="00C1724D" w:rsidRDefault="007867A7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Art. 5º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 mandato dos membros do Conselho do </w:t>
      </w:r>
      <w:proofErr w:type="spellStart"/>
      <w:r w:rsidRPr="00C1724D">
        <w:rPr>
          <w:rFonts w:ascii="Times New Roman" w:hAnsi="Times New Roman"/>
          <w:color w:val="000000" w:themeColor="text1"/>
          <w:sz w:val="24"/>
          <w:szCs w:val="24"/>
        </w:rPr>
        <w:t>Fundeb</w:t>
      </w:r>
      <w:proofErr w:type="spellEnd"/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será de </w:t>
      </w:r>
      <w:r w:rsidR="00FA65C3" w:rsidRPr="00C1724D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A65C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dois) anos, facultada a recondução de 1/3 de seus membros, por uma única vez. </w:t>
      </w:r>
    </w:p>
    <w:p w:rsidR="007867A7" w:rsidRPr="00C1724D" w:rsidRDefault="007867A7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§ 1º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 primeiro mandato dos conselheiros</w:t>
      </w:r>
      <w:r w:rsidR="001560E3" w:rsidRPr="00C1724D">
        <w:rPr>
          <w:rFonts w:ascii="Times New Roman" w:hAnsi="Times New Roman"/>
          <w:color w:val="000000" w:themeColor="text1"/>
          <w:sz w:val="24"/>
          <w:szCs w:val="24"/>
        </w:rPr>
        <w:t>, regido por esta lei,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extinguir-se-á em 31 de dezembro de 2022, nos termos do que dispõe o art. 42, § 2º da Lei Federal nº 14.113/2020.</w:t>
      </w:r>
    </w:p>
    <w:p w:rsidR="007867A7" w:rsidRPr="00C1724D" w:rsidRDefault="007867A7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Pr="00C1724D" w:rsidRDefault="007867A7" w:rsidP="00FA65C3">
      <w:pPr>
        <w:tabs>
          <w:tab w:val="left" w:pos="1134"/>
        </w:tabs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Art. 6</w:t>
      </w:r>
      <w:r w:rsidR="000B4F43" w:rsidRPr="00C1724D">
        <w:rPr>
          <w:rFonts w:ascii="Times New Roman" w:hAnsi="Times New Roman"/>
          <w:b/>
          <w:color w:val="000000" w:themeColor="text1"/>
          <w:sz w:val="24"/>
          <w:szCs w:val="24"/>
        </w:rPr>
        <w:t>º</w:t>
      </w:r>
      <w:r w:rsidR="00AF1DDC" w:rsidRPr="00C172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4F43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Os Conselheiros deverão integrar o segmento social ou a categoria que r</w:t>
      </w:r>
      <w:r w:rsidR="000B4F43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e</w:t>
      </w:r>
      <w:r w:rsidR="000B4F43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presentam e, em caso de deixarem de ocupar essa condição depois de efetivados, deverão ser substituídos, nos termos da legislação vigente.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§ 1º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O membro suplente, representante da mesma categoria ou segmento social substituirá o titular em seus impedimentos temporários, provisórios e em seus afastamentos definitivos, ocorridos antes do fim do mandato. 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§ 2º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O mandato do conselheiro, nomeado para substituir membro que tenha se 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fastado antes do final do mandato, terá início na data da publicação do ato de sua design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ção e se estenderá até a data do término do mandato daquele que foi substituído.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§ 3º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Na hipótese do suplente assumir a titularidade do Conselho, deve o segmento social ou categoria representada indicar novo membro para a suplência.</w:t>
      </w:r>
    </w:p>
    <w:p w:rsidR="00AA3E29" w:rsidRPr="00C1724D" w:rsidRDefault="00AA3E29" w:rsidP="00FA65C3">
      <w:pPr>
        <w:tabs>
          <w:tab w:val="left" w:pos="1134"/>
        </w:tabs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</w:t>
      </w:r>
      <w:r w:rsidR="00975856" w:rsidRPr="00C1724D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º</w:t>
      </w:r>
      <w:r w:rsidR="00AF1DDC" w:rsidRPr="00C172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Após a designação dos Conselheiros, somente serão admitidas substitu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i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ções nos seguintes casos: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I –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M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ediante renúncia expressa do conselheiro;</w:t>
      </w:r>
    </w:p>
    <w:p w:rsidR="000B4F43" w:rsidRPr="00C1724D" w:rsidRDefault="000B4F43" w:rsidP="00FA65C3">
      <w:pPr>
        <w:tabs>
          <w:tab w:val="left" w:pos="1125"/>
        </w:tabs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II –</w:t>
      </w:r>
      <w:r w:rsidR="00AF1DDC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P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or deliberação justificada do segmento representado;</w:t>
      </w:r>
    </w:p>
    <w:p w:rsidR="000B4F43" w:rsidRPr="00C1724D" w:rsidRDefault="000B4F43" w:rsidP="00FA65C3">
      <w:pPr>
        <w:tabs>
          <w:tab w:val="left" w:pos="1125"/>
        </w:tabs>
        <w:autoSpaceDE w:val="0"/>
        <w:ind w:firstLine="851"/>
        <w:jc w:val="both"/>
        <w:rPr>
          <w:rFonts w:ascii="Times New Roman" w:eastAsia="Times-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III –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Q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uando o Conselheiro perder a qualidade de representante da categoria ou segmento pela qual foi escolhido;</w:t>
      </w:r>
    </w:p>
    <w:p w:rsidR="000B4F43" w:rsidRPr="00C1724D" w:rsidRDefault="000B4F43" w:rsidP="00FA65C3">
      <w:pPr>
        <w:tabs>
          <w:tab w:val="left" w:pos="1125"/>
        </w:tabs>
        <w:autoSpaceDE w:val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IV –</w:t>
      </w:r>
      <w:r w:rsidR="00AF1DDC"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 xml:space="preserve"> O</w:t>
      </w:r>
      <w:r w:rsidRPr="00C1724D">
        <w:rPr>
          <w:rFonts w:ascii="Times New Roman" w:eastAsia="Times-Roman" w:hAnsi="Times New Roman"/>
          <w:color w:val="000000" w:themeColor="text1"/>
          <w:sz w:val="24"/>
          <w:szCs w:val="24"/>
        </w:rPr>
        <w:t>utras situações previstas no Regimento Interno do Conselho.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Art. </w:t>
      </w:r>
      <w:r w:rsidR="00975856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8</w:t>
      </w: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º</w:t>
      </w:r>
      <w:r w:rsidR="00AF1DDC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Compete ao Conselho: 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I</w:t>
      </w: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laborar seu regimento interno;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II-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A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companhar e controlar a repartição, transferência e aplicação dos r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e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cursos do Fundo;</w:t>
      </w:r>
    </w:p>
    <w:p w:rsidR="00630BC3" w:rsidRPr="00C1724D" w:rsidRDefault="000B4F43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III -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S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upervisionar a realização do Censo Educacional Anual e a elaboração</w:t>
      </w:r>
      <w:r w:rsidR="00630BC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da proposta orçamentária anual, 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com o objetivo de concorrer para o regular e tempestivo tr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tamento e encaminhamento dos dados estatísticos e financeiros que alicerçam a operacion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lização do </w:t>
      </w:r>
      <w:proofErr w:type="spellStart"/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Fundeb</w:t>
      </w:r>
      <w:proofErr w:type="spellEnd"/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 </w:t>
      </w:r>
      <w:r w:rsidRPr="00C1724D">
        <w:rPr>
          <w:rFonts w:ascii="Times New Roman" w:eastAsia="Times-Roman" w:hAnsi="Times New Roman"/>
          <w:b/>
          <w:color w:val="000000" w:themeColor="text1"/>
          <w:sz w:val="24"/>
          <w:szCs w:val="24"/>
        </w:rPr>
        <w:t>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xaminar os registros contábeis e demonstrativos gerenciais mensais, atual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zados, relativos aos recursos repassados e recebidos à conta do Fundo, assim como os regi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tros referentes às despesas realizadas;</w:t>
      </w:r>
    </w:p>
    <w:p w:rsidR="000B4F43" w:rsidRPr="00C1724D" w:rsidRDefault="00AF1DDC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V -</w:t>
      </w:r>
      <w:r w:rsidR="000B4F43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laborar parecer das prestações de contas a ser apresentada pelo Município ao Tribunal de Contas do Estado;</w:t>
      </w:r>
    </w:p>
    <w:p w:rsidR="000B4F43" w:rsidRPr="00C1724D" w:rsidRDefault="000B4F43" w:rsidP="00C1724D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VI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companhar a aplicação dos recursos federais transferidos à conta do Pr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grama Nacional de Apoio ao Transporte Escolar – PNATE e do Programa de Apoio aos Sistemas de Ensino para Atendimento à Educação de Jovens e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dultos e, ainda, receber e analisar as prestações de contas referentes a esses Programas, formulando pareceres concl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si</w:t>
      </w:r>
      <w:r w:rsidR="00C1724D">
        <w:rPr>
          <w:rFonts w:ascii="Times New Roman" w:hAnsi="Times New Roman"/>
          <w:color w:val="000000" w:themeColor="text1"/>
          <w:sz w:val="24"/>
          <w:szCs w:val="24"/>
        </w:rPr>
        <w:t xml:space="preserve">vos acerca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da aplicação desses recursos e </w:t>
      </w:r>
      <w:r w:rsidR="00FC7070" w:rsidRPr="00C1724D">
        <w:rPr>
          <w:rFonts w:ascii="Times New Roman" w:hAnsi="Times New Roman"/>
          <w:color w:val="000000" w:themeColor="text1"/>
          <w:sz w:val="24"/>
          <w:szCs w:val="24"/>
        </w:rPr>
        <w:t>encaminhando-os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ao Fundo de Desenvolvime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to da Educ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ção - FNDE.</w:t>
      </w:r>
    </w:p>
    <w:p w:rsidR="00FA65C3" w:rsidRPr="00C1724D" w:rsidRDefault="00FA65C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Parágrafo único.</w:t>
      </w:r>
      <w:r w:rsidRPr="00C1724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O parecer referido no inciso V deste artigo integrará a prestação de contas do Poder Executivo, devendo ser entregue à Administração Municipal com, no m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í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nimo, 30 (trinta) dias de antecedência da data final de sua apresentação.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Art. </w:t>
      </w:r>
      <w:r w:rsidR="00975856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9</w:t>
      </w: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°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É facultado ao Conselho, se julgar conveniente e necessário: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I –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A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presentar, ao Poder Legislativo e aos órgãos de controle interno e externo, manifestação formal acerca dos registros contábeis e dos demonstrativos gerenciais do Fundo; 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II –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iCs/>
          <w:color w:val="000000" w:themeColor="text1"/>
          <w:sz w:val="24"/>
          <w:szCs w:val="24"/>
        </w:rPr>
        <w:t>P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or decisão da maioria de seus membros, convocar o Secretário de Educação competente, ou servidor equivalente, para prestar esclarecimentos acerca do fluxo de recu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r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sos e a execução das despesas do Fundo, devendo a aut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o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ridade convocada apresentar-se em prazo não superior a trinta dias.</w:t>
      </w:r>
    </w:p>
    <w:p w:rsidR="000B4F43" w:rsidRPr="00C1724D" w:rsidRDefault="000B4F43" w:rsidP="00FA65C3">
      <w:pPr>
        <w:pStyle w:val="Corpodetexto"/>
        <w:tabs>
          <w:tab w:val="clear" w:pos="1398"/>
          <w:tab w:val="left" w:pos="1134"/>
        </w:tabs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III –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R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equisitar ao Poder Executivo cópia de documentos referentes </w:t>
      </w:r>
      <w:proofErr w:type="gramStart"/>
      <w:r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C1724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B4F43" w:rsidRPr="00C1724D" w:rsidRDefault="000B4F43" w:rsidP="00FA65C3">
      <w:pPr>
        <w:pStyle w:val="Corpodetexto"/>
        <w:tabs>
          <w:tab w:val="clear" w:pos="1398"/>
          <w:tab w:val="left" w:pos="1134"/>
        </w:tabs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a)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icitação, empenho, liquidação e pagamento de obras e serviços cust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ados com recursos do Fundo;</w:t>
      </w:r>
    </w:p>
    <w:p w:rsidR="000B4F43" w:rsidRPr="00C1724D" w:rsidRDefault="000B4F43" w:rsidP="00FA65C3">
      <w:pPr>
        <w:pStyle w:val="Corpodetexto"/>
        <w:tabs>
          <w:tab w:val="clear" w:pos="1398"/>
          <w:tab w:val="left" w:pos="1134"/>
        </w:tabs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b)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F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olhas de pagamento dos profissionais da educação, as quais deverão discrim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nar aqueles em efetivo exercício na educação básica e indicar o respectivo nível, modalid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de ou tipo de estabelecimento a que estejam vinculados;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c)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ocumentos referentes aos convênios com as instituições a que se refere o art. 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1724D">
        <w:rPr>
          <w:rFonts w:ascii="Times New Roman" w:hAnsi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="009E5B09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da Lei nº 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14.113/2020</w:t>
      </w:r>
      <w:r w:rsidR="009E5B09" w:rsidRPr="00C1724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d)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utros documentos necessário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s ao desempenho de suas funções.</w:t>
      </w:r>
    </w:p>
    <w:p w:rsidR="000B4F43" w:rsidRPr="00C1724D" w:rsidRDefault="000B4F43" w:rsidP="00FA65C3">
      <w:pPr>
        <w:pStyle w:val="Corpodetexto"/>
        <w:tabs>
          <w:tab w:val="clear" w:pos="1398"/>
          <w:tab w:val="left" w:pos="1134"/>
        </w:tabs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IV –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ealizar visitas e inspetorias </w:t>
      </w:r>
      <w:r w:rsidRPr="00C1724D">
        <w:rPr>
          <w:rFonts w:ascii="Times New Roman" w:hAnsi="Times New Roman"/>
          <w:i/>
          <w:color w:val="000000" w:themeColor="text1"/>
          <w:sz w:val="24"/>
          <w:szCs w:val="24"/>
        </w:rPr>
        <w:t>in loco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para verificar: </w:t>
      </w:r>
    </w:p>
    <w:p w:rsidR="000B4F43" w:rsidRPr="00C1724D" w:rsidRDefault="000B4F43" w:rsidP="00FA65C3">
      <w:pPr>
        <w:pStyle w:val="Corpodetexto"/>
        <w:tabs>
          <w:tab w:val="clear" w:pos="1398"/>
          <w:tab w:val="left" w:pos="1134"/>
        </w:tabs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a)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desenvolvimento regular de obras e serviços efetuados nas instituições esc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lares com recursos do Fundo;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b)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adequação do serviço de transporte escolar;</w:t>
      </w:r>
    </w:p>
    <w:p w:rsidR="000B4F43" w:rsidRPr="00C1724D" w:rsidRDefault="00AF1DDC" w:rsidP="00FA65C3">
      <w:pPr>
        <w:pStyle w:val="Corpodetexto"/>
        <w:tabs>
          <w:tab w:val="clear" w:pos="1398"/>
          <w:tab w:val="left" w:pos="1134"/>
        </w:tabs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c) 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B4F4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utilização em benefício do sistema de ensino de bens a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dquiridos com recursos do fundo;</w:t>
      </w:r>
    </w:p>
    <w:p w:rsidR="00630BC3" w:rsidRPr="00C1724D" w:rsidRDefault="00630BC3" w:rsidP="00FA65C3">
      <w:pPr>
        <w:pStyle w:val="Corpodetexto"/>
        <w:tabs>
          <w:tab w:val="clear" w:pos="1398"/>
          <w:tab w:val="left" w:pos="1134"/>
        </w:tabs>
        <w:spacing w:before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d)</w:t>
      </w:r>
      <w:r w:rsidR="00AF1DDC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efetivo exercício na rede escolar da educação básica municipal, dos profi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sionais da educação, pagos com recursos do </w:t>
      </w:r>
      <w:proofErr w:type="spellStart"/>
      <w:r w:rsidRPr="00C1724D">
        <w:rPr>
          <w:rFonts w:ascii="Times New Roman" w:hAnsi="Times New Roman"/>
          <w:color w:val="000000" w:themeColor="text1"/>
          <w:sz w:val="24"/>
          <w:szCs w:val="24"/>
        </w:rPr>
        <w:t>Fundeb</w:t>
      </w:r>
      <w:proofErr w:type="spellEnd"/>
      <w:r w:rsidR="00FA65C3" w:rsidRPr="00C1724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Art. </w:t>
      </w:r>
      <w:r w:rsidR="00975856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10</w:t>
      </w:r>
      <w:r w:rsidR="00AF1DDC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O presidente,</w:t>
      </w:r>
      <w:r w:rsidR="00AA3E29"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o Vice-presidente e o Secretário do Conselho serão eleitos por seus pares em reunião do colegiado, ficando impedido de ocupar tal função o conselhe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>i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ro que representa o Governo Municipal gestor dos recursos do Fundo. </w:t>
      </w:r>
    </w:p>
    <w:p w:rsidR="00630BC3" w:rsidRPr="00C1724D" w:rsidRDefault="00630BC3" w:rsidP="00C1724D">
      <w:pPr>
        <w:pStyle w:val="WW-Recuodecorpodetexto21"/>
        <w:spacing w:beforeLines="4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Parágrafo Único.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Na hipótese de o Presidente do Conselho renunciar ou, por a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gum motivo, se afastar em caráter definitivo antes do final do mandato será efetivado o Vice-Presidente na condição de Presidente, com a consequente ind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cação de outro membro para ocupar o cargo de Vice-Presidente, observado o di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posto no </w:t>
      </w:r>
      <w:r w:rsidRPr="00C1724D">
        <w:rPr>
          <w:rFonts w:ascii="Times New Roman" w:hAnsi="Times New Roman"/>
          <w:bCs/>
          <w:color w:val="000000" w:themeColor="text1"/>
          <w:sz w:val="24"/>
          <w:szCs w:val="24"/>
        </w:rPr>
        <w:t>caput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deste artigo.</w:t>
      </w:r>
    </w:p>
    <w:p w:rsidR="00024849" w:rsidRPr="00C1724D" w:rsidRDefault="00024849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630BC3" w:rsidRPr="00C1724D" w:rsidRDefault="000B4F43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Art. </w:t>
      </w:r>
      <w:r w:rsidR="00AA3E29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1</w:t>
      </w:r>
      <w:r w:rsidR="00975856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1</w:t>
      </w:r>
      <w:r w:rsidR="00A32D9D" w:rsidRPr="00C1724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234DFD" w:rsidRPr="00C1724D">
        <w:rPr>
          <w:rFonts w:ascii="Times New Roman" w:hAnsi="Times New Roman"/>
          <w:color w:val="000000" w:themeColor="text1"/>
          <w:sz w:val="24"/>
          <w:szCs w:val="24"/>
        </w:rPr>
        <w:t>CACS FUNDEB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atuará com autonomia, sem vinculação ou subordin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ção institucional ao Poder Executivo e será renovado periodicamente ao final de cada ma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630BC3" w:rsidRPr="00C1724D">
        <w:rPr>
          <w:rFonts w:ascii="Times New Roman" w:hAnsi="Times New Roman"/>
          <w:color w:val="000000" w:themeColor="text1"/>
          <w:sz w:val="24"/>
          <w:szCs w:val="24"/>
        </w:rPr>
        <w:t>dato dos seus membros.</w:t>
      </w:r>
    </w:p>
    <w:p w:rsidR="00630BC3" w:rsidRPr="00C1724D" w:rsidRDefault="00630BC3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§ 1º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 Conselho não contará com estrutura administrativa própria, e 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cumbirá ao Município garantir infraestrutura e condições materiais adequadas à execução plena das competências do Conselho e oferecer ao Ministério da Educação os dados cadastrais relat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vos à criação e à composição do respectivo </w:t>
      </w:r>
      <w:proofErr w:type="gramStart"/>
      <w:r w:rsidRPr="00C1724D">
        <w:rPr>
          <w:rFonts w:ascii="Times New Roman" w:hAnsi="Times New Roman"/>
          <w:color w:val="000000" w:themeColor="text1"/>
          <w:sz w:val="24"/>
          <w:szCs w:val="24"/>
        </w:rPr>
        <w:t>Co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selho</w:t>
      </w:r>
      <w:proofErr w:type="gramEnd"/>
    </w:p>
    <w:p w:rsidR="00234DFD" w:rsidRPr="00C1724D" w:rsidRDefault="00234DF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4DFD" w:rsidRPr="00C1724D" w:rsidRDefault="00234DF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Art. 1</w:t>
      </w:r>
      <w:r w:rsidR="00975856" w:rsidRPr="00C1724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32D9D" w:rsidRPr="00C172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 Município disponibilizará em sítio na internet informações atualizadas s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bre a composição e o funcionamento do respectivo CACS FUNDEB, incluídos:</w:t>
      </w:r>
    </w:p>
    <w:p w:rsidR="00234DFD" w:rsidRPr="00C1724D" w:rsidRDefault="00234DF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 -</w:t>
      </w:r>
      <w:r w:rsidR="00A32D9D"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omes dos conselheiros e das entidades ou segmentos que represe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>tam;</w:t>
      </w:r>
    </w:p>
    <w:p w:rsidR="00234DFD" w:rsidRPr="00C1724D" w:rsidRDefault="00A32D9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 -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C</w:t>
      </w:r>
      <w:r w:rsidR="00234DFD" w:rsidRPr="00C1724D">
        <w:rPr>
          <w:rFonts w:ascii="Times New Roman" w:hAnsi="Times New Roman"/>
          <w:color w:val="000000" w:themeColor="text1"/>
          <w:sz w:val="24"/>
          <w:szCs w:val="24"/>
        </w:rPr>
        <w:t>orreio eletrônico ou outro canal de contato direto com o Conselho;</w:t>
      </w:r>
    </w:p>
    <w:p w:rsidR="00234DFD" w:rsidRPr="00C1724D" w:rsidRDefault="00A32D9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III -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234DFD" w:rsidRPr="00C1724D">
        <w:rPr>
          <w:rFonts w:ascii="Times New Roman" w:hAnsi="Times New Roman"/>
          <w:color w:val="000000" w:themeColor="text1"/>
          <w:sz w:val="24"/>
          <w:szCs w:val="24"/>
        </w:rPr>
        <w:t>tas de reuniões;</w:t>
      </w:r>
    </w:p>
    <w:p w:rsidR="00234DFD" w:rsidRPr="00C1724D" w:rsidRDefault="00A32D9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IV -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R</w:t>
      </w:r>
      <w:r w:rsidR="00234DFD" w:rsidRPr="00C1724D">
        <w:rPr>
          <w:rFonts w:ascii="Times New Roman" w:hAnsi="Times New Roman"/>
          <w:color w:val="000000" w:themeColor="text1"/>
          <w:sz w:val="24"/>
          <w:szCs w:val="24"/>
        </w:rPr>
        <w:t>elatórios e pareceres;</w:t>
      </w:r>
    </w:p>
    <w:p w:rsidR="00234DFD" w:rsidRPr="00C1724D" w:rsidRDefault="00A32D9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V -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="00234DFD" w:rsidRPr="00C1724D">
        <w:rPr>
          <w:rFonts w:ascii="Times New Roman" w:hAnsi="Times New Roman"/>
          <w:color w:val="000000" w:themeColor="text1"/>
          <w:sz w:val="24"/>
          <w:szCs w:val="24"/>
        </w:rPr>
        <w:t>utros documentos produzidos pelo Conselho.</w:t>
      </w:r>
    </w:p>
    <w:p w:rsidR="00234DFD" w:rsidRPr="00C1724D" w:rsidRDefault="00234DF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4DFD" w:rsidRPr="00C1724D" w:rsidRDefault="00234DFD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>Art.</w:t>
      </w:r>
      <w:proofErr w:type="gramStart"/>
      <w:r w:rsidRPr="00C172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gramEnd"/>
      <w:r w:rsidR="00975856" w:rsidRPr="00C1724D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A32D9D" w:rsidRPr="00C172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O Conselho do </w:t>
      </w:r>
      <w:proofErr w:type="spellStart"/>
      <w:r w:rsidRPr="00C1724D">
        <w:rPr>
          <w:rFonts w:ascii="Times New Roman" w:hAnsi="Times New Roman"/>
          <w:color w:val="000000" w:themeColor="text1"/>
          <w:sz w:val="24"/>
          <w:szCs w:val="24"/>
        </w:rPr>
        <w:t>Fundeb</w:t>
      </w:r>
      <w:proofErr w:type="spellEnd"/>
      <w:r w:rsidRPr="00C1724D">
        <w:rPr>
          <w:rFonts w:ascii="Times New Roman" w:hAnsi="Times New Roman"/>
          <w:color w:val="000000" w:themeColor="text1"/>
          <w:sz w:val="24"/>
          <w:szCs w:val="24"/>
        </w:rPr>
        <w:t xml:space="preserve"> reunir-se-á, no mínimo, trimestralmente ou por convocação de seu Presidente.</w:t>
      </w:r>
    </w:p>
    <w:p w:rsidR="00630BC3" w:rsidRPr="00C1724D" w:rsidRDefault="00630BC3" w:rsidP="00C1724D">
      <w:pPr>
        <w:tabs>
          <w:tab w:val="left" w:pos="1134"/>
        </w:tabs>
        <w:spacing w:beforeLines="4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4F43" w:rsidRPr="00C1724D" w:rsidRDefault="000B4F43" w:rsidP="00FA65C3">
      <w:pPr>
        <w:pStyle w:val="Corpodetexto2"/>
        <w:spacing w:before="0" w:line="240" w:lineRule="auto"/>
        <w:ind w:firstLine="851"/>
        <w:rPr>
          <w:rFonts w:ascii="Times New Roman" w:hAnsi="Times New Roman" w:cs="Times New Roman"/>
          <w:iCs/>
          <w:color w:val="000000" w:themeColor="text1"/>
          <w:szCs w:val="24"/>
        </w:rPr>
      </w:pPr>
      <w:r w:rsidRPr="00C1724D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 xml:space="preserve">Art. </w:t>
      </w:r>
      <w:r w:rsidR="00AA3E29" w:rsidRPr="00C1724D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>1</w:t>
      </w:r>
      <w:r w:rsidR="00975856" w:rsidRPr="00C1724D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>4</w:t>
      </w:r>
      <w:r w:rsidR="00FA65C3" w:rsidRPr="00C1724D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>.</w:t>
      </w:r>
      <w:r w:rsidRPr="00C1724D">
        <w:rPr>
          <w:rFonts w:ascii="Times New Roman" w:hAnsi="Times New Roman" w:cs="Times New Roman"/>
          <w:iCs/>
          <w:color w:val="000000" w:themeColor="text1"/>
          <w:szCs w:val="24"/>
        </w:rPr>
        <w:t xml:space="preserve"> Revogam-se as disposições em contrário, especialmente às contidas na Lei Municipal nº </w:t>
      </w:r>
      <w:r w:rsidR="00FA65C3" w:rsidRPr="00C1724D">
        <w:rPr>
          <w:rFonts w:ascii="Times New Roman" w:hAnsi="Times New Roman" w:cs="Times New Roman"/>
          <w:iCs/>
          <w:color w:val="000000" w:themeColor="text1"/>
          <w:szCs w:val="24"/>
        </w:rPr>
        <w:t xml:space="preserve">890/2007. </w:t>
      </w:r>
    </w:p>
    <w:p w:rsidR="000B4F43" w:rsidRPr="00C1724D" w:rsidRDefault="000B4F43" w:rsidP="00FA65C3">
      <w:pPr>
        <w:tabs>
          <w:tab w:val="left" w:pos="1134"/>
        </w:tabs>
        <w:ind w:firstLine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0B4F43" w:rsidRDefault="000B4F43" w:rsidP="00FA65C3">
      <w:pPr>
        <w:pStyle w:val="Corpodetexto2"/>
        <w:spacing w:before="0" w:line="240" w:lineRule="auto"/>
        <w:ind w:firstLine="851"/>
        <w:rPr>
          <w:rFonts w:ascii="Times New Roman" w:hAnsi="Times New Roman" w:cs="Times New Roman"/>
          <w:iCs/>
          <w:color w:val="000000" w:themeColor="text1"/>
          <w:szCs w:val="24"/>
        </w:rPr>
      </w:pPr>
      <w:r w:rsidRPr="00C1724D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 xml:space="preserve">Art. </w:t>
      </w:r>
      <w:r w:rsidR="00AA3E29" w:rsidRPr="00C1724D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>1</w:t>
      </w:r>
      <w:r w:rsidR="00975856" w:rsidRPr="00C1724D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>5</w:t>
      </w:r>
      <w:r w:rsidR="00FA65C3" w:rsidRPr="00C1724D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>.</w:t>
      </w:r>
      <w:r w:rsidRPr="00C1724D">
        <w:rPr>
          <w:rFonts w:ascii="Times New Roman" w:hAnsi="Times New Roman" w:cs="Times New Roman"/>
          <w:iCs/>
          <w:color w:val="000000" w:themeColor="text1"/>
          <w:szCs w:val="24"/>
        </w:rPr>
        <w:t xml:space="preserve"> Esta Lei entra em vigor na data de sua publicação.</w:t>
      </w:r>
    </w:p>
    <w:p w:rsidR="00C1724D" w:rsidRDefault="00C1724D" w:rsidP="00FA65C3">
      <w:pPr>
        <w:pStyle w:val="Corpodetexto2"/>
        <w:spacing w:before="0" w:line="240" w:lineRule="auto"/>
        <w:ind w:firstLine="851"/>
        <w:rPr>
          <w:rFonts w:ascii="Times New Roman" w:hAnsi="Times New Roman" w:cs="Times New Roman"/>
          <w:iCs/>
          <w:color w:val="000000" w:themeColor="text1"/>
          <w:szCs w:val="24"/>
        </w:rPr>
      </w:pPr>
    </w:p>
    <w:p w:rsidR="00C1724D" w:rsidRDefault="00C1724D" w:rsidP="00FA65C3">
      <w:pPr>
        <w:pStyle w:val="Corpodetexto2"/>
        <w:spacing w:before="0" w:line="240" w:lineRule="auto"/>
        <w:ind w:firstLine="851"/>
        <w:rPr>
          <w:rFonts w:ascii="Times New Roman" w:hAnsi="Times New Roman" w:cs="Times New Roman"/>
          <w:iCs/>
          <w:color w:val="000000" w:themeColor="text1"/>
          <w:szCs w:val="24"/>
        </w:rPr>
      </w:pPr>
    </w:p>
    <w:p w:rsidR="00C1724D" w:rsidRPr="008003FD" w:rsidRDefault="00C1724D" w:rsidP="00C1724D">
      <w:pPr>
        <w:pStyle w:val="Corpodetexto"/>
        <w:ind w:firstLine="708"/>
        <w:rPr>
          <w:rFonts w:ascii="Times New Roman" w:hAnsi="Times New Roman"/>
          <w:b/>
          <w:sz w:val="24"/>
        </w:rPr>
      </w:pPr>
      <w:r w:rsidRPr="008003FD">
        <w:rPr>
          <w:rFonts w:ascii="Times New Roman" w:hAnsi="Times New Roman"/>
          <w:b/>
          <w:sz w:val="24"/>
        </w:rPr>
        <w:t>Novo Barreiro</w:t>
      </w:r>
      <w:r>
        <w:rPr>
          <w:rFonts w:ascii="Times New Roman" w:hAnsi="Times New Roman"/>
          <w:b/>
          <w:sz w:val="24"/>
        </w:rPr>
        <w:t>, RS, Sala da Presidência, aos 30</w:t>
      </w:r>
      <w:r w:rsidRPr="008003FD">
        <w:rPr>
          <w:rFonts w:ascii="Times New Roman" w:hAnsi="Times New Roman"/>
          <w:b/>
          <w:sz w:val="24"/>
        </w:rPr>
        <w:t xml:space="preserve"> dias do mês de Março de 2021.</w:t>
      </w:r>
    </w:p>
    <w:p w:rsidR="00C1724D" w:rsidRPr="008003FD" w:rsidRDefault="00C1724D" w:rsidP="00C1724D">
      <w:pPr>
        <w:jc w:val="both"/>
        <w:rPr>
          <w:rFonts w:ascii="Times New Roman" w:eastAsia="Calibri" w:hAnsi="Times New Roman"/>
          <w:color w:val="000000"/>
          <w:sz w:val="24"/>
          <w:szCs w:val="24"/>
          <w:lang/>
        </w:rPr>
      </w:pPr>
    </w:p>
    <w:p w:rsidR="00C1724D" w:rsidRPr="008003FD" w:rsidRDefault="00C1724D" w:rsidP="00C1724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C1724D" w:rsidRPr="008003FD" w:rsidRDefault="00C1724D" w:rsidP="00C1724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C1724D" w:rsidRPr="008003FD" w:rsidRDefault="00C1724D" w:rsidP="00C1724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C1724D" w:rsidRPr="008003FD" w:rsidRDefault="00C1724D" w:rsidP="00C1724D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8003FD">
        <w:rPr>
          <w:rFonts w:ascii="Times New Roman" w:eastAsia="Calibri" w:hAnsi="Times New Roman"/>
          <w:b/>
          <w:sz w:val="24"/>
          <w:szCs w:val="24"/>
        </w:rPr>
        <w:t xml:space="preserve">Claudemir Antônio Nunes </w:t>
      </w:r>
      <w:proofErr w:type="spellStart"/>
      <w:r w:rsidRPr="008003FD">
        <w:rPr>
          <w:rFonts w:ascii="Times New Roman" w:eastAsia="Calibri" w:hAnsi="Times New Roman"/>
          <w:b/>
          <w:sz w:val="24"/>
          <w:szCs w:val="24"/>
        </w:rPr>
        <w:t>Andriolli</w:t>
      </w:r>
      <w:proofErr w:type="spellEnd"/>
    </w:p>
    <w:p w:rsidR="00C1724D" w:rsidRPr="008003FD" w:rsidRDefault="00C1724D" w:rsidP="00C1724D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8003FD">
        <w:rPr>
          <w:rFonts w:ascii="Times New Roman" w:eastAsia="Calibri" w:hAnsi="Times New Roman"/>
          <w:b/>
          <w:sz w:val="24"/>
          <w:szCs w:val="24"/>
        </w:rPr>
        <w:t>Presidente do Legislativo Municipal</w:t>
      </w:r>
    </w:p>
    <w:p w:rsidR="00C1724D" w:rsidRPr="00C1724D" w:rsidRDefault="00C1724D" w:rsidP="00FA65C3">
      <w:pPr>
        <w:pStyle w:val="Corpodetexto2"/>
        <w:spacing w:before="0" w:line="240" w:lineRule="auto"/>
        <w:ind w:firstLine="851"/>
        <w:rPr>
          <w:rFonts w:ascii="Times New Roman" w:hAnsi="Times New Roman" w:cs="Times New Roman"/>
          <w:iCs/>
          <w:color w:val="000000" w:themeColor="text1"/>
          <w:szCs w:val="24"/>
        </w:rPr>
      </w:pPr>
    </w:p>
    <w:p w:rsidR="00A32D9D" w:rsidRPr="00C1724D" w:rsidRDefault="00A32D9D" w:rsidP="00FA65C3">
      <w:pPr>
        <w:pStyle w:val="Corpodetexto2"/>
        <w:spacing w:before="0" w:line="240" w:lineRule="auto"/>
        <w:ind w:firstLine="851"/>
        <w:rPr>
          <w:rFonts w:ascii="Times New Roman" w:hAnsi="Times New Roman" w:cs="Times New Roman"/>
          <w:iCs/>
          <w:color w:val="000000" w:themeColor="text1"/>
          <w:szCs w:val="24"/>
        </w:rPr>
      </w:pPr>
    </w:p>
    <w:p w:rsidR="00A32D9D" w:rsidRPr="00C1724D" w:rsidRDefault="00A32D9D" w:rsidP="00FA65C3">
      <w:pPr>
        <w:pStyle w:val="Corpodetexto2"/>
        <w:spacing w:before="0" w:line="240" w:lineRule="auto"/>
        <w:ind w:firstLine="851"/>
        <w:rPr>
          <w:rFonts w:ascii="Times New Roman" w:hAnsi="Times New Roman" w:cs="Times New Roman"/>
          <w:b/>
          <w:iCs/>
          <w:color w:val="000000" w:themeColor="text1"/>
          <w:szCs w:val="24"/>
        </w:rPr>
      </w:pPr>
    </w:p>
    <w:sectPr w:rsidR="00A32D9D" w:rsidRPr="00C1724D" w:rsidSect="00C1724D">
      <w:footerReference w:type="even" r:id="rId8"/>
      <w:footerReference w:type="default" r:id="rId9"/>
      <w:pgSz w:w="12242" w:h="15842"/>
      <w:pgMar w:top="2552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72" w:rsidRDefault="000A0A72">
      <w:r>
        <w:separator/>
      </w:r>
    </w:p>
  </w:endnote>
  <w:endnote w:type="continuationSeparator" w:id="0">
    <w:p w:rsidR="000A0A72" w:rsidRDefault="000A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43" w:rsidRDefault="00D25CB2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 w:rsidR="000B4F43">
      <w:rPr>
        <w:rStyle w:val="Nmerodepgina"/>
      </w:rPr>
      <w:instrText xml:space="preserve">PAGE  </w:instrText>
    </w:r>
    <w:r>
      <w:fldChar w:fldCharType="end"/>
    </w:r>
  </w:p>
  <w:p w:rsidR="000B4F43" w:rsidRDefault="000B4F43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43" w:rsidRDefault="00D25CB2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 w:rsidR="000B4F43">
      <w:rPr>
        <w:rStyle w:val="Nmerodepgina"/>
      </w:rPr>
      <w:instrText xml:space="preserve">PAGE  </w:instrText>
    </w:r>
    <w:r>
      <w:fldChar w:fldCharType="separate"/>
    </w:r>
    <w:r w:rsidR="00C1724D">
      <w:rPr>
        <w:rStyle w:val="Nmerodepgina"/>
        <w:noProof/>
      </w:rPr>
      <w:t>1</w:t>
    </w:r>
    <w:r>
      <w:fldChar w:fldCharType="end"/>
    </w:r>
  </w:p>
  <w:p w:rsidR="000B4F43" w:rsidRDefault="000B4F43">
    <w:pPr>
      <w:pStyle w:val="Rodap"/>
      <w:ind w:right="360" w:firstLine="360"/>
      <w:rPr>
        <w:snapToGrid w:val="0"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72" w:rsidRDefault="000A0A72">
      <w:r>
        <w:separator/>
      </w:r>
    </w:p>
  </w:footnote>
  <w:footnote w:type="continuationSeparator" w:id="0">
    <w:p w:rsidR="000A0A72" w:rsidRDefault="000A0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5EC4"/>
    <w:multiLevelType w:val="multilevel"/>
    <w:tmpl w:val="64485EC4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0669"/>
    <w:rsid w:val="00012B55"/>
    <w:rsid w:val="00024849"/>
    <w:rsid w:val="000404C2"/>
    <w:rsid w:val="00067E76"/>
    <w:rsid w:val="00074BAF"/>
    <w:rsid w:val="00077493"/>
    <w:rsid w:val="000A0A72"/>
    <w:rsid w:val="000B4F43"/>
    <w:rsid w:val="000C4A25"/>
    <w:rsid w:val="000C69EC"/>
    <w:rsid w:val="00133AE3"/>
    <w:rsid w:val="001560E3"/>
    <w:rsid w:val="001C482D"/>
    <w:rsid w:val="001F3C0B"/>
    <w:rsid w:val="002122F1"/>
    <w:rsid w:val="00234DFD"/>
    <w:rsid w:val="00252B82"/>
    <w:rsid w:val="00257491"/>
    <w:rsid w:val="002C593E"/>
    <w:rsid w:val="003F1461"/>
    <w:rsid w:val="004C7953"/>
    <w:rsid w:val="00506A3A"/>
    <w:rsid w:val="00630BC3"/>
    <w:rsid w:val="006C797E"/>
    <w:rsid w:val="00700053"/>
    <w:rsid w:val="007867A7"/>
    <w:rsid w:val="007B51DE"/>
    <w:rsid w:val="007D0B2D"/>
    <w:rsid w:val="008009A7"/>
    <w:rsid w:val="00802A3F"/>
    <w:rsid w:val="008844F5"/>
    <w:rsid w:val="00924130"/>
    <w:rsid w:val="00944503"/>
    <w:rsid w:val="00975856"/>
    <w:rsid w:val="009A1515"/>
    <w:rsid w:val="009C1A0E"/>
    <w:rsid w:val="009E5B09"/>
    <w:rsid w:val="00A32D9D"/>
    <w:rsid w:val="00A469BC"/>
    <w:rsid w:val="00A75D54"/>
    <w:rsid w:val="00AA3E29"/>
    <w:rsid w:val="00AF1DDC"/>
    <w:rsid w:val="00B80CBE"/>
    <w:rsid w:val="00BB0D3D"/>
    <w:rsid w:val="00C1724D"/>
    <w:rsid w:val="00C649BD"/>
    <w:rsid w:val="00CE0669"/>
    <w:rsid w:val="00CF2097"/>
    <w:rsid w:val="00D13D02"/>
    <w:rsid w:val="00D216F5"/>
    <w:rsid w:val="00D25CB2"/>
    <w:rsid w:val="00D61564"/>
    <w:rsid w:val="00ED6883"/>
    <w:rsid w:val="00F22498"/>
    <w:rsid w:val="00F84209"/>
    <w:rsid w:val="00FA65C3"/>
    <w:rsid w:val="00FC11A7"/>
    <w:rsid w:val="00FC7070"/>
    <w:rsid w:val="053D7375"/>
    <w:rsid w:val="53C43350"/>
    <w:rsid w:val="599A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iPriority="0" w:unhideWhenUsed="0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/>
    <w:lsdException w:name="Body Text Indent 2" w:uiPriority="0" w:unhideWhenUsed="0"/>
    <w:lsdException w:name="Body Text Indent 3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B2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25CB2"/>
  </w:style>
  <w:style w:type="character" w:styleId="Refdecomentrio">
    <w:name w:val="annotation reference"/>
    <w:uiPriority w:val="99"/>
    <w:unhideWhenUsed/>
    <w:rsid w:val="00D25CB2"/>
    <w:rPr>
      <w:sz w:val="16"/>
      <w:szCs w:val="16"/>
    </w:rPr>
  </w:style>
  <w:style w:type="character" w:styleId="Refdenotaderodap">
    <w:name w:val="footnote reference"/>
    <w:rsid w:val="00D25CB2"/>
    <w:rPr>
      <w:vertAlign w:val="superscript"/>
    </w:rPr>
  </w:style>
  <w:style w:type="character" w:customStyle="1" w:styleId="Refdenotaderodap1">
    <w:name w:val="Ref. de nota de rodapé1"/>
    <w:rsid w:val="00D25CB2"/>
    <w:rPr>
      <w:vertAlign w:val="superscript"/>
    </w:rPr>
  </w:style>
  <w:style w:type="character" w:customStyle="1" w:styleId="TextodebaloChar">
    <w:name w:val="Texto de balão Char"/>
    <w:link w:val="Textodebalo"/>
    <w:uiPriority w:val="99"/>
    <w:semiHidden/>
    <w:rsid w:val="00D25CB2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D25CB2"/>
    <w:rPr>
      <w:vertAlign w:val="superscript"/>
    </w:rPr>
  </w:style>
  <w:style w:type="character" w:customStyle="1" w:styleId="AssuntodocomentrioChar">
    <w:name w:val="Assunto do comentário Char"/>
    <w:link w:val="Assuntodocomentrio"/>
    <w:uiPriority w:val="99"/>
    <w:semiHidden/>
    <w:rsid w:val="00D25CB2"/>
    <w:rPr>
      <w:rFonts w:ascii="Arial" w:hAnsi="Arial"/>
      <w:b/>
      <w:bCs/>
    </w:rPr>
  </w:style>
  <w:style w:type="character" w:customStyle="1" w:styleId="TextodecomentrioChar">
    <w:name w:val="Texto de comentário Char"/>
    <w:link w:val="Textodecomentrio"/>
    <w:uiPriority w:val="99"/>
    <w:semiHidden/>
    <w:rsid w:val="00D25CB2"/>
    <w:rPr>
      <w:rFonts w:ascii="Arial" w:hAnsi="Arial"/>
    </w:rPr>
  </w:style>
  <w:style w:type="character" w:customStyle="1" w:styleId="WW-Refdenotaderodap1">
    <w:name w:val="WW-Ref. de nota de rodapé1"/>
    <w:rsid w:val="00D25CB2"/>
    <w:rPr>
      <w:vertAlign w:val="superscript"/>
    </w:rPr>
  </w:style>
  <w:style w:type="paragraph" w:styleId="Recuodecorpodetexto3">
    <w:name w:val="Body Text Indent 3"/>
    <w:basedOn w:val="Normal"/>
    <w:semiHidden/>
    <w:rsid w:val="00D25CB2"/>
    <w:pPr>
      <w:ind w:firstLine="709"/>
    </w:pPr>
    <w:rPr>
      <w:rFonts w:ascii="Tahoma" w:hAnsi="Tahoma" w:cs="Tahoma"/>
      <w:b/>
      <w:i/>
      <w:iCs/>
      <w:sz w:val="32"/>
    </w:rPr>
  </w:style>
  <w:style w:type="paragraph" w:styleId="Rodap">
    <w:name w:val="footer"/>
    <w:basedOn w:val="Normal"/>
    <w:semiHidden/>
    <w:rsid w:val="00D25CB2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D25CB2"/>
    <w:rPr>
      <w:b/>
      <w:bCs/>
    </w:rPr>
  </w:style>
  <w:style w:type="paragraph" w:styleId="Recuodecorpodetexto">
    <w:name w:val="Body Text Indent"/>
    <w:basedOn w:val="Normal"/>
    <w:semiHidden/>
    <w:rsid w:val="00D25CB2"/>
    <w:pPr>
      <w:tabs>
        <w:tab w:val="left" w:pos="5353"/>
      </w:tabs>
      <w:ind w:left="4235"/>
      <w:jc w:val="both"/>
    </w:pPr>
  </w:style>
  <w:style w:type="paragraph" w:styleId="Textodenotaderodap">
    <w:name w:val="footnote text"/>
    <w:basedOn w:val="Normal"/>
    <w:link w:val="TextodenotaderodapChar"/>
    <w:rsid w:val="00D25CB2"/>
    <w:rPr>
      <w:sz w:val="20"/>
    </w:rPr>
  </w:style>
  <w:style w:type="paragraph" w:styleId="Textodebalo">
    <w:name w:val="Balloon Text"/>
    <w:basedOn w:val="Normal"/>
    <w:link w:val="TextodebaloChar"/>
    <w:uiPriority w:val="99"/>
    <w:unhideWhenUsed/>
    <w:rsid w:val="00D25C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D25CB2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link w:val="TextodecomentrioChar"/>
    <w:uiPriority w:val="99"/>
    <w:unhideWhenUsed/>
    <w:rsid w:val="00D25CB2"/>
    <w:rPr>
      <w:sz w:val="20"/>
    </w:rPr>
  </w:style>
  <w:style w:type="paragraph" w:styleId="Recuodecorpodetexto2">
    <w:name w:val="Body Text Indent 2"/>
    <w:basedOn w:val="Normal"/>
    <w:semiHidden/>
    <w:rsid w:val="00D25CB2"/>
    <w:pPr>
      <w:tabs>
        <w:tab w:val="left" w:pos="1134"/>
      </w:tabs>
      <w:spacing w:before="120" w:line="360" w:lineRule="auto"/>
      <w:ind w:firstLine="709"/>
      <w:jc w:val="both"/>
    </w:pPr>
  </w:style>
  <w:style w:type="paragraph" w:styleId="Corpodetexto2">
    <w:name w:val="Body Text 2"/>
    <w:basedOn w:val="Normal"/>
    <w:semiHidden/>
    <w:rsid w:val="00D25CB2"/>
    <w:pPr>
      <w:tabs>
        <w:tab w:val="left" w:pos="1134"/>
      </w:tabs>
      <w:spacing w:before="120" w:line="360" w:lineRule="auto"/>
      <w:jc w:val="both"/>
    </w:pPr>
    <w:rPr>
      <w:rFonts w:ascii="Tahoma" w:hAnsi="Tahoma" w:cs="Tahoma"/>
      <w:sz w:val="24"/>
    </w:rPr>
  </w:style>
  <w:style w:type="paragraph" w:styleId="Corpodetexto">
    <w:name w:val="Body Text"/>
    <w:basedOn w:val="Normal"/>
    <w:semiHidden/>
    <w:rsid w:val="00D25CB2"/>
    <w:pPr>
      <w:tabs>
        <w:tab w:val="left" w:pos="1398"/>
      </w:tabs>
      <w:spacing w:before="120" w:line="360" w:lineRule="auto"/>
      <w:jc w:val="both"/>
    </w:pPr>
  </w:style>
  <w:style w:type="paragraph" w:customStyle="1" w:styleId="WW-Recuodecorpodetexto21">
    <w:name w:val="WW-Recuo de corpo de texto 21"/>
    <w:basedOn w:val="Normal"/>
    <w:rsid w:val="00D25CB2"/>
    <w:pPr>
      <w:tabs>
        <w:tab w:val="left" w:pos="1134"/>
      </w:tabs>
      <w:spacing w:before="120" w:line="360" w:lineRule="auto"/>
      <w:ind w:firstLine="1134"/>
      <w:jc w:val="both"/>
    </w:pPr>
    <w:rPr>
      <w:lang w:eastAsia="zh-CN"/>
    </w:rPr>
  </w:style>
  <w:style w:type="paragraph" w:customStyle="1" w:styleId="Recuodecorpodetexto21">
    <w:name w:val="Recuo de corpo de texto 21"/>
    <w:basedOn w:val="Normal"/>
    <w:rsid w:val="00D25CB2"/>
    <w:pPr>
      <w:tabs>
        <w:tab w:val="left" w:pos="1134"/>
      </w:tabs>
      <w:spacing w:before="120" w:line="360" w:lineRule="auto"/>
      <w:ind w:firstLine="709"/>
      <w:jc w:val="both"/>
    </w:pPr>
  </w:style>
  <w:style w:type="character" w:customStyle="1" w:styleId="TextodenotaderodapChar">
    <w:name w:val="Texto de nota de rodapé Char"/>
    <w:link w:val="Textodenotaderodap"/>
    <w:rsid w:val="006C797E"/>
    <w:rPr>
      <w:rFonts w:ascii="Arial" w:hAnsi="Arial"/>
    </w:rPr>
  </w:style>
  <w:style w:type="character" w:customStyle="1" w:styleId="CaracteresdeNotadeRodap0">
    <w:name w:val="Caracteres de Nota de Rodapé"/>
    <w:rsid w:val="006C797E"/>
    <w:rPr>
      <w:vertAlign w:val="superscript"/>
    </w:rPr>
  </w:style>
  <w:style w:type="character" w:customStyle="1" w:styleId="WW-Refdenotaderodap">
    <w:name w:val="WW-Ref. de nota de rodapé"/>
    <w:rsid w:val="006C797E"/>
    <w:rPr>
      <w:vertAlign w:val="superscript"/>
    </w:rPr>
  </w:style>
  <w:style w:type="character" w:styleId="nfase">
    <w:name w:val="Emphasis"/>
    <w:qFormat/>
    <w:rsid w:val="00C1724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B665-733E-4610-8229-5B8C67ED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2020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ANTEPROJETO DE LEI</vt:lpstr>
    </vt:vector>
  </TitlesOfParts>
  <Company>DPM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ANTEPROJETO DE LEI</dc:title>
  <dc:subject/>
  <dc:creator>Desconhecido</dc:creator>
  <cp:keywords/>
  <cp:lastModifiedBy>user</cp:lastModifiedBy>
  <cp:revision>3</cp:revision>
  <cp:lastPrinted>2021-03-25T18:12:00Z</cp:lastPrinted>
  <dcterms:created xsi:type="dcterms:W3CDTF">2021-03-25T18:51:00Z</dcterms:created>
  <dcterms:modified xsi:type="dcterms:W3CDTF">2021-03-30T11:58:00Z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1046-11.2.0.8942</vt:lpwstr>
  </property>
</Properties>
</file>